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附件1</w:t>
      </w:r>
    </w:p>
    <w:p>
      <w:pPr>
        <w:jc w:val="center"/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  <w:t>广东省建筑施工特种作业人员培训考核站        2016年下半年度考核考评名单及时间安排表</w:t>
      </w:r>
    </w:p>
    <w:tbl>
      <w:tblPr>
        <w:tblStyle w:val="5"/>
        <w:tblW w:w="7935" w:type="dxa"/>
        <w:jc w:val="center"/>
        <w:tblInd w:w="-8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42"/>
        <w:gridCol w:w="5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>
            <w:pPr>
              <w:widowControl/>
              <w:ind w:right="480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5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>培训考核站名称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12月12日至12月16日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珠海市建筑安全职业技能培训学校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、肇庆市建筑安全行业协会、</w:t>
            </w: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佛山市思成建筑培训中心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、顺德区建设局建设技术培训中心、江门市建筑业协会、茂名市建设培训学校、湛江市建设职业技术培训学校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12月20日至12月23日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深圳建筑业协会培训中心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东莞市建筑业协会培训中心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、东莞市建设培训中心、</w:t>
            </w: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广州五羊建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设</w:t>
            </w: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机械有限公司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  <w:t>广东省建筑机械厂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57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2016-12-06T08:40:52Z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