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EC57C">
      <w:pPr>
        <w:jc w:val="center"/>
        <w:rPr>
          <w:rFonts w:hint="eastAsia" w:ascii="宋体" w:hAnsi="宋体" w:eastAsia="宋体"/>
          <w:b/>
          <w:sz w:val="28"/>
          <w:szCs w:val="28"/>
        </w:rPr>
      </w:pPr>
      <w:r>
        <w:rPr>
          <w:rFonts w:hint="eastAsia" w:ascii="宋体" w:hAnsi="宋体" w:eastAsia="宋体"/>
          <w:b/>
          <w:sz w:val="28"/>
          <w:szCs w:val="28"/>
          <w:lang w:val="en-US" w:eastAsia="zh-CN"/>
        </w:rPr>
        <w:t>市政</w:t>
      </w:r>
      <w:r>
        <w:rPr>
          <w:rFonts w:hint="eastAsia" w:ascii="宋体" w:hAnsi="宋体" w:eastAsia="宋体"/>
          <w:b/>
          <w:sz w:val="28"/>
          <w:szCs w:val="28"/>
        </w:rPr>
        <w:t>表B</w:t>
      </w:r>
      <w:r>
        <w:rPr>
          <w:rFonts w:hint="eastAsia" w:ascii="宋体" w:hAnsi="宋体" w:eastAsia="宋体"/>
          <w:b/>
          <w:sz w:val="28"/>
          <w:szCs w:val="28"/>
          <w:lang w:val="en-US" w:eastAsia="zh-CN"/>
        </w:rPr>
        <w:t>8</w:t>
      </w:r>
      <w:r>
        <w:rPr>
          <w:rFonts w:hint="eastAsia" w:ascii="宋体" w:hAnsi="宋体" w:eastAsia="宋体"/>
          <w:b/>
          <w:sz w:val="28"/>
          <w:szCs w:val="28"/>
        </w:rPr>
        <w:t xml:space="preserve">  悬挑式脚手架评价评分表</w:t>
      </w:r>
    </w:p>
    <w:tbl>
      <w:tblPr>
        <w:tblStyle w:val="15"/>
        <w:tblW w:w="864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059"/>
        <w:gridCol w:w="4995"/>
        <w:gridCol w:w="1023"/>
        <w:gridCol w:w="854"/>
      </w:tblGrid>
      <w:tr w14:paraId="301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13" w:type="dxa"/>
            <w:tcBorders>
              <w:top w:val="single" w:color="auto" w:sz="4" w:space="0"/>
              <w:left w:val="single" w:color="auto" w:sz="4" w:space="0"/>
              <w:bottom w:val="single" w:color="auto" w:sz="4" w:space="0"/>
              <w:right w:val="single" w:color="auto" w:sz="4" w:space="0"/>
            </w:tcBorders>
            <w:vAlign w:val="center"/>
          </w:tcPr>
          <w:p w14:paraId="539C5CBB">
            <w:pPr>
              <w:rPr>
                <w:rFonts w:hint="eastAsia" w:ascii="宋体" w:hAnsi="宋体" w:eastAsia="宋体"/>
                <w:bCs/>
                <w:szCs w:val="21"/>
              </w:rPr>
            </w:pPr>
            <w:r>
              <w:rPr>
                <w:rFonts w:hint="eastAsia" w:ascii="宋体" w:hAnsi="宋体" w:eastAsia="宋体"/>
                <w:bCs/>
                <w:szCs w:val="21"/>
              </w:rPr>
              <w:t>序号</w:t>
            </w:r>
          </w:p>
        </w:tc>
        <w:tc>
          <w:tcPr>
            <w:tcW w:w="1059" w:type="dxa"/>
            <w:tcBorders>
              <w:top w:val="single" w:color="auto" w:sz="4" w:space="0"/>
              <w:left w:val="single" w:color="auto" w:sz="4" w:space="0"/>
              <w:bottom w:val="single" w:color="auto" w:sz="4" w:space="0"/>
              <w:right w:val="single" w:color="auto" w:sz="4" w:space="0"/>
            </w:tcBorders>
            <w:vAlign w:val="center"/>
          </w:tcPr>
          <w:p w14:paraId="0BFB8A5B">
            <w:pPr>
              <w:rPr>
                <w:rFonts w:hint="eastAsia" w:ascii="宋体" w:hAnsi="宋体" w:eastAsia="宋体"/>
                <w:bCs/>
                <w:szCs w:val="21"/>
              </w:rPr>
            </w:pPr>
            <w:r>
              <w:rPr>
                <w:rFonts w:hint="eastAsia" w:ascii="宋体" w:hAnsi="宋体" w:eastAsia="宋体"/>
                <w:bCs/>
                <w:szCs w:val="21"/>
              </w:rPr>
              <w:t>评价指标</w:t>
            </w:r>
          </w:p>
        </w:tc>
        <w:tc>
          <w:tcPr>
            <w:tcW w:w="4995" w:type="dxa"/>
            <w:tcBorders>
              <w:top w:val="single" w:color="auto" w:sz="4" w:space="0"/>
              <w:left w:val="single" w:color="auto" w:sz="4" w:space="0"/>
              <w:bottom w:val="single" w:color="auto" w:sz="4" w:space="0"/>
              <w:right w:val="single" w:color="auto" w:sz="4" w:space="0"/>
            </w:tcBorders>
            <w:vAlign w:val="center"/>
          </w:tcPr>
          <w:p w14:paraId="57EDA5DB">
            <w:pPr>
              <w:jc w:val="center"/>
              <w:rPr>
                <w:rFonts w:hint="eastAsia" w:ascii="宋体" w:hAnsi="宋体" w:eastAsia="宋体"/>
                <w:bCs/>
                <w:szCs w:val="21"/>
              </w:rPr>
            </w:pPr>
            <w:r>
              <w:rPr>
                <w:rFonts w:hint="eastAsia" w:ascii="宋体" w:hAnsi="宋体" w:eastAsia="宋体"/>
                <w:bCs/>
                <w:szCs w:val="21"/>
              </w:rPr>
              <w:t>标准要求</w:t>
            </w:r>
          </w:p>
        </w:tc>
        <w:tc>
          <w:tcPr>
            <w:tcW w:w="1877" w:type="dxa"/>
            <w:gridSpan w:val="2"/>
            <w:tcBorders>
              <w:top w:val="single" w:color="auto" w:sz="4" w:space="0"/>
              <w:left w:val="single" w:color="auto" w:sz="4" w:space="0"/>
              <w:bottom w:val="single" w:color="auto" w:sz="4" w:space="0"/>
              <w:right w:val="single" w:color="auto" w:sz="4" w:space="0"/>
            </w:tcBorders>
            <w:vAlign w:val="center"/>
          </w:tcPr>
          <w:p w14:paraId="30B927E0">
            <w:pPr>
              <w:jc w:val="center"/>
              <w:rPr>
                <w:rFonts w:hint="eastAsia" w:ascii="宋体" w:hAnsi="宋体" w:eastAsia="宋体"/>
                <w:bCs/>
                <w:szCs w:val="21"/>
              </w:rPr>
            </w:pPr>
            <w:r>
              <w:rPr>
                <w:rFonts w:hint="eastAsia" w:ascii="宋体" w:hAnsi="宋体" w:eastAsia="宋体"/>
                <w:bCs/>
                <w:szCs w:val="21"/>
              </w:rPr>
              <w:t>评价结果</w:t>
            </w:r>
          </w:p>
        </w:tc>
      </w:tr>
      <w:tr w14:paraId="5392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13" w:type="dxa"/>
            <w:vMerge w:val="restart"/>
            <w:tcBorders>
              <w:top w:val="nil"/>
              <w:left w:val="single" w:color="auto" w:sz="4" w:space="0"/>
              <w:bottom w:val="single" w:color="auto" w:sz="4" w:space="0"/>
              <w:right w:val="single" w:color="auto" w:sz="4" w:space="0"/>
            </w:tcBorders>
            <w:vAlign w:val="center"/>
          </w:tcPr>
          <w:p w14:paraId="307EAC97">
            <w:pPr>
              <w:rPr>
                <w:rFonts w:hint="eastAsia" w:ascii="宋体" w:hAnsi="宋体" w:eastAsia="宋体"/>
                <w:bCs/>
                <w:szCs w:val="21"/>
              </w:rPr>
            </w:pPr>
            <w:r>
              <w:rPr>
                <w:rFonts w:hint="eastAsia" w:ascii="宋体" w:hAnsi="宋体" w:eastAsia="宋体"/>
                <w:bCs/>
                <w:szCs w:val="21"/>
              </w:rPr>
              <w:t>1</w:t>
            </w:r>
          </w:p>
        </w:tc>
        <w:tc>
          <w:tcPr>
            <w:tcW w:w="1059" w:type="dxa"/>
            <w:vMerge w:val="restart"/>
            <w:tcBorders>
              <w:top w:val="nil"/>
              <w:left w:val="single" w:color="auto" w:sz="4" w:space="0"/>
              <w:right w:val="single" w:color="auto" w:sz="4" w:space="0"/>
            </w:tcBorders>
            <w:vAlign w:val="center"/>
          </w:tcPr>
          <w:p w14:paraId="4190A400">
            <w:pPr>
              <w:rPr>
                <w:rFonts w:hint="eastAsia" w:ascii="宋体" w:hAnsi="宋体" w:eastAsia="宋体"/>
                <w:bCs/>
                <w:szCs w:val="21"/>
                <w:highlight w:val="none"/>
              </w:rPr>
            </w:pPr>
            <w:r>
              <w:rPr>
                <w:rFonts w:hint="eastAsia" w:ascii="宋体" w:hAnsi="宋体" w:eastAsia="宋体"/>
                <w:bCs/>
                <w:szCs w:val="21"/>
                <w:highlight w:val="none"/>
              </w:rPr>
              <w:t>控制项</w:t>
            </w:r>
          </w:p>
        </w:tc>
        <w:tc>
          <w:tcPr>
            <w:tcW w:w="4995" w:type="dxa"/>
            <w:tcBorders>
              <w:top w:val="single" w:color="auto" w:sz="4" w:space="0"/>
              <w:left w:val="single" w:color="auto" w:sz="4" w:space="0"/>
              <w:bottom w:val="single" w:color="auto" w:sz="4" w:space="0"/>
              <w:right w:val="single" w:color="auto" w:sz="4" w:space="0"/>
            </w:tcBorders>
            <w:shd w:val="clear" w:color="auto" w:fill="auto"/>
            <w:vAlign w:val="center"/>
          </w:tcPr>
          <w:p w14:paraId="09A87956">
            <w:pPr>
              <w:rPr>
                <w:rFonts w:hint="eastAsia" w:ascii="宋体" w:hAnsi="宋体" w:eastAsia="宋体"/>
                <w:szCs w:val="21"/>
                <w:highlight w:val="none"/>
              </w:rPr>
            </w:pPr>
            <w:r>
              <w:rPr>
                <w:rFonts w:hint="eastAsia" w:ascii="宋体" w:hAnsi="宋体" w:eastAsia="宋体"/>
                <w:bCs/>
                <w:szCs w:val="21"/>
                <w:highlight w:val="none"/>
              </w:rPr>
              <w:t>危大工程应编制专项施工方案，专项施工方案不</w:t>
            </w:r>
            <w:r>
              <w:rPr>
                <w:rFonts w:hint="eastAsia" w:ascii="宋体" w:hAnsi="宋体" w:eastAsia="宋体"/>
                <w:bCs/>
                <w:szCs w:val="21"/>
                <w:highlight w:val="none"/>
                <w:lang w:val="en-US" w:eastAsia="zh-CN"/>
              </w:rPr>
              <w:t>应</w:t>
            </w:r>
            <w:r>
              <w:rPr>
                <w:rFonts w:hint="eastAsia" w:ascii="宋体" w:hAnsi="宋体" w:eastAsia="宋体"/>
                <w:bCs/>
                <w:szCs w:val="21"/>
                <w:highlight w:val="none"/>
              </w:rPr>
              <w:t>存在严重缺陷；</w:t>
            </w:r>
            <w:bookmarkStart w:id="0" w:name="_GoBack"/>
            <w:bookmarkEnd w:id="0"/>
            <w:r>
              <w:rPr>
                <w:rFonts w:hint="eastAsia" w:ascii="宋体" w:hAnsi="宋体" w:eastAsia="宋体"/>
                <w:bCs/>
                <w:szCs w:val="21"/>
                <w:highlight w:val="none"/>
              </w:rPr>
              <w:t>超过一定规模应组织专家论证</w:t>
            </w:r>
          </w:p>
        </w:tc>
        <w:tc>
          <w:tcPr>
            <w:tcW w:w="1877" w:type="dxa"/>
            <w:gridSpan w:val="2"/>
            <w:tcBorders>
              <w:top w:val="single" w:color="auto" w:sz="4" w:space="0"/>
              <w:left w:val="single" w:color="auto" w:sz="4" w:space="0"/>
              <w:bottom w:val="single" w:color="auto" w:sz="4" w:space="0"/>
              <w:right w:val="single" w:color="auto" w:sz="4" w:space="0"/>
            </w:tcBorders>
            <w:vAlign w:val="center"/>
          </w:tcPr>
          <w:p w14:paraId="3686CFCE">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31F76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13" w:type="dxa"/>
            <w:vMerge w:val="continue"/>
            <w:tcBorders>
              <w:left w:val="single" w:color="auto" w:sz="4" w:space="0"/>
              <w:right w:val="single" w:color="auto" w:sz="4" w:space="0"/>
            </w:tcBorders>
            <w:vAlign w:val="center"/>
          </w:tcPr>
          <w:p w14:paraId="3473B4F6">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14:paraId="3D0F1880">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shd w:val="clear" w:color="auto" w:fill="auto"/>
            <w:vAlign w:val="center"/>
          </w:tcPr>
          <w:p w14:paraId="4C1AA919">
            <w:pPr>
              <w:rPr>
                <w:rFonts w:hint="eastAsia" w:ascii="宋体" w:hAnsi="宋体" w:eastAsia="宋体"/>
                <w:szCs w:val="21"/>
              </w:rPr>
            </w:pPr>
            <w:r>
              <w:rPr>
                <w:rFonts w:hint="eastAsia" w:ascii="宋体" w:hAnsi="宋体" w:eastAsia="宋体"/>
                <w:szCs w:val="21"/>
              </w:rPr>
              <w:t>危大工程验收合格后才能进行下一道工序</w:t>
            </w:r>
          </w:p>
        </w:tc>
        <w:tc>
          <w:tcPr>
            <w:tcW w:w="1877" w:type="dxa"/>
            <w:gridSpan w:val="2"/>
            <w:tcBorders>
              <w:top w:val="single" w:color="auto" w:sz="4" w:space="0"/>
              <w:left w:val="single" w:color="auto" w:sz="4" w:space="0"/>
              <w:bottom w:val="single" w:color="auto" w:sz="4" w:space="0"/>
              <w:right w:val="single" w:color="auto" w:sz="4" w:space="0"/>
            </w:tcBorders>
            <w:vAlign w:val="center"/>
          </w:tcPr>
          <w:p w14:paraId="415BC02E">
            <w:pPr>
              <w:rPr>
                <w:rFonts w:hint="eastAsia" w:ascii="宋体" w:hAnsi="宋体" w:eastAsia="宋体"/>
                <w:bCs/>
                <w:szCs w:val="21"/>
              </w:rPr>
            </w:pPr>
            <w:r>
              <w:rPr>
                <w:rFonts w:hint="eastAsia" w:ascii="宋体" w:hAnsi="宋体" w:eastAsia="宋体"/>
                <w:bCs/>
                <w:szCs w:val="21"/>
              </w:rPr>
              <w:t>符合□不符合□</w:t>
            </w:r>
          </w:p>
        </w:tc>
      </w:tr>
      <w:tr w14:paraId="3089F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13" w:type="dxa"/>
            <w:vMerge w:val="continue"/>
            <w:tcBorders>
              <w:top w:val="nil"/>
              <w:left w:val="single" w:color="auto" w:sz="4" w:space="0"/>
              <w:bottom w:val="single" w:color="auto" w:sz="4" w:space="0"/>
              <w:right w:val="single" w:color="auto" w:sz="4" w:space="0"/>
            </w:tcBorders>
            <w:vAlign w:val="center"/>
          </w:tcPr>
          <w:p w14:paraId="048CE18B">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14:paraId="6E631D3E">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shd w:val="clear" w:color="auto" w:fill="auto"/>
            <w:vAlign w:val="center"/>
          </w:tcPr>
          <w:p w14:paraId="686580A8">
            <w:pPr>
              <w:rPr>
                <w:rFonts w:hint="eastAsia" w:ascii="宋体" w:hAnsi="宋体" w:eastAsia="宋体"/>
                <w:bCs/>
                <w:szCs w:val="21"/>
              </w:rPr>
            </w:pPr>
            <w:r>
              <w:rPr>
                <w:rFonts w:hint="eastAsia" w:ascii="宋体" w:hAnsi="宋体" w:eastAsia="宋体"/>
                <w:bCs/>
                <w:szCs w:val="21"/>
              </w:rPr>
              <w:t>悬挑钢梁截面高度应按设计确定，载面形式符合设计和规范要求</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E16C8B">
            <w:pPr>
              <w:rPr>
                <w:rFonts w:hint="eastAsia" w:ascii="宋体" w:hAnsi="宋体" w:eastAsia="宋体"/>
                <w:bCs/>
                <w:szCs w:val="21"/>
              </w:rPr>
            </w:pPr>
            <w:r>
              <w:rPr>
                <w:rFonts w:hint="eastAsia" w:ascii="宋体" w:hAnsi="宋体" w:eastAsia="宋体"/>
                <w:bCs/>
                <w:szCs w:val="21"/>
              </w:rPr>
              <w:t>符合□不符合□</w:t>
            </w:r>
          </w:p>
        </w:tc>
      </w:tr>
      <w:tr w14:paraId="19F04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13" w:type="dxa"/>
            <w:vMerge w:val="continue"/>
            <w:tcBorders>
              <w:top w:val="nil"/>
              <w:left w:val="single" w:color="auto" w:sz="4" w:space="0"/>
              <w:bottom w:val="single" w:color="auto" w:sz="4" w:space="0"/>
              <w:right w:val="single" w:color="auto" w:sz="4" w:space="0"/>
            </w:tcBorders>
            <w:vAlign w:val="center"/>
          </w:tcPr>
          <w:p w14:paraId="09DC9982">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14:paraId="5B6390DC">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14:paraId="2108AFCB">
            <w:pPr>
              <w:rPr>
                <w:rFonts w:hint="eastAsia" w:ascii="宋体" w:hAnsi="宋体" w:eastAsia="宋体"/>
                <w:bCs/>
                <w:szCs w:val="21"/>
              </w:rPr>
            </w:pPr>
            <w:r>
              <w:rPr>
                <w:rFonts w:hint="eastAsia" w:ascii="宋体" w:hAnsi="宋体" w:eastAsia="宋体"/>
                <w:bCs/>
                <w:szCs w:val="21"/>
              </w:rPr>
              <w:t>在架体外侧设置连续式剪刀撑</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30A887">
            <w:pPr>
              <w:rPr>
                <w:rFonts w:hint="eastAsia" w:ascii="宋体" w:hAnsi="宋体" w:eastAsia="宋体"/>
                <w:bCs/>
                <w:szCs w:val="21"/>
              </w:rPr>
            </w:pPr>
            <w:r>
              <w:rPr>
                <w:rFonts w:hint="eastAsia" w:ascii="宋体" w:hAnsi="宋体" w:eastAsia="宋体"/>
                <w:bCs/>
                <w:szCs w:val="21"/>
              </w:rPr>
              <w:t>符合□不符合□</w:t>
            </w:r>
          </w:p>
        </w:tc>
      </w:tr>
      <w:tr w14:paraId="6355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trPr>
        <w:tc>
          <w:tcPr>
            <w:tcW w:w="713" w:type="dxa"/>
            <w:vMerge w:val="continue"/>
            <w:tcBorders>
              <w:top w:val="nil"/>
              <w:left w:val="single" w:color="auto" w:sz="4" w:space="0"/>
              <w:bottom w:val="single" w:color="auto" w:sz="4" w:space="0"/>
              <w:right w:val="single" w:color="auto" w:sz="4" w:space="0"/>
            </w:tcBorders>
            <w:vAlign w:val="center"/>
          </w:tcPr>
          <w:p w14:paraId="58515F0C">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14:paraId="2CB8EE4A">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14:paraId="57F01CDB">
            <w:pPr>
              <w:rPr>
                <w:rFonts w:hint="eastAsia" w:ascii="宋体" w:hAnsi="宋体" w:eastAsia="宋体"/>
                <w:bCs/>
                <w:szCs w:val="21"/>
              </w:rPr>
            </w:pPr>
            <w:r>
              <w:rPr>
                <w:rFonts w:hint="eastAsia" w:ascii="宋体" w:hAnsi="宋体" w:eastAsia="宋体"/>
                <w:bCs/>
                <w:szCs w:val="21"/>
              </w:rPr>
              <w:t>对支撑脚手架的工程结构和所附着的工程结构应进行强度和变形验算，验算不能满足安全承载要求时，应采取相应的加固措施；</w:t>
            </w:r>
          </w:p>
        </w:tc>
        <w:tc>
          <w:tcPr>
            <w:tcW w:w="1877" w:type="dxa"/>
            <w:gridSpan w:val="2"/>
            <w:tcBorders>
              <w:top w:val="single" w:color="auto" w:sz="4" w:space="0"/>
              <w:left w:val="single" w:color="auto" w:sz="4" w:space="0"/>
              <w:bottom w:val="single" w:color="auto" w:sz="4" w:space="0"/>
              <w:right w:val="single" w:color="auto" w:sz="4" w:space="0"/>
            </w:tcBorders>
            <w:vAlign w:val="center"/>
          </w:tcPr>
          <w:p w14:paraId="0B53FDEB">
            <w:pPr>
              <w:rPr>
                <w:rFonts w:hint="eastAsia" w:ascii="宋体" w:hAnsi="宋体" w:eastAsia="宋体"/>
                <w:bCs/>
                <w:szCs w:val="21"/>
              </w:rPr>
            </w:pPr>
            <w:r>
              <w:rPr>
                <w:rFonts w:hint="eastAsia" w:ascii="宋体" w:hAnsi="宋体" w:eastAsia="宋体"/>
                <w:bCs/>
                <w:szCs w:val="21"/>
              </w:rPr>
              <w:t>符合□不符合□</w:t>
            </w:r>
          </w:p>
        </w:tc>
      </w:tr>
      <w:tr w14:paraId="4DCB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14:paraId="2BFF66C7">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14:paraId="69A8E066">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14:paraId="3F2CD76A">
            <w:pPr>
              <w:rPr>
                <w:rFonts w:hint="eastAsia" w:ascii="宋体" w:hAnsi="宋体" w:eastAsia="宋体"/>
                <w:bCs/>
                <w:szCs w:val="21"/>
              </w:rPr>
            </w:pPr>
            <w:r>
              <w:rPr>
                <w:rFonts w:hint="eastAsia" w:ascii="宋体" w:hAnsi="宋体" w:eastAsia="宋体"/>
                <w:bCs/>
                <w:szCs w:val="21"/>
              </w:rPr>
              <w:t>架体与建筑结构拉结应符合规范及方案要求；</w:t>
            </w:r>
          </w:p>
        </w:tc>
        <w:tc>
          <w:tcPr>
            <w:tcW w:w="1877" w:type="dxa"/>
            <w:gridSpan w:val="2"/>
            <w:tcBorders>
              <w:top w:val="single" w:color="auto" w:sz="4" w:space="0"/>
              <w:left w:val="single" w:color="auto" w:sz="4" w:space="0"/>
              <w:bottom w:val="single" w:color="auto" w:sz="4" w:space="0"/>
              <w:right w:val="single" w:color="auto" w:sz="4" w:space="0"/>
            </w:tcBorders>
            <w:vAlign w:val="center"/>
          </w:tcPr>
          <w:p w14:paraId="1879310D">
            <w:pPr>
              <w:rPr>
                <w:rFonts w:hint="eastAsia" w:ascii="宋体" w:hAnsi="宋体" w:eastAsia="宋体"/>
                <w:bCs/>
                <w:szCs w:val="21"/>
              </w:rPr>
            </w:pPr>
            <w:r>
              <w:rPr>
                <w:rFonts w:hint="eastAsia" w:ascii="宋体" w:hAnsi="宋体" w:eastAsia="宋体"/>
                <w:bCs/>
                <w:szCs w:val="21"/>
              </w:rPr>
              <w:t>符合□不符合□</w:t>
            </w:r>
          </w:p>
        </w:tc>
      </w:tr>
      <w:tr w14:paraId="3835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14:paraId="4B7AE951">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14:paraId="1067E0BD">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14:paraId="05E22237">
            <w:pPr>
              <w:rPr>
                <w:rFonts w:hint="eastAsia" w:ascii="宋体" w:hAnsi="宋体" w:eastAsia="宋体"/>
                <w:bCs/>
                <w:szCs w:val="21"/>
              </w:rPr>
            </w:pPr>
            <w:r>
              <w:rPr>
                <w:rFonts w:hint="eastAsia" w:ascii="宋体" w:hAnsi="宋体" w:eastAsia="宋体"/>
                <w:bCs/>
                <w:szCs w:val="21"/>
              </w:rPr>
              <w:t>脚手架施工荷载不超过设计规定</w:t>
            </w:r>
          </w:p>
        </w:tc>
        <w:tc>
          <w:tcPr>
            <w:tcW w:w="1877" w:type="dxa"/>
            <w:gridSpan w:val="2"/>
            <w:tcBorders>
              <w:top w:val="single" w:color="auto" w:sz="4" w:space="0"/>
              <w:left w:val="single" w:color="auto" w:sz="4" w:space="0"/>
              <w:bottom w:val="single" w:color="auto" w:sz="4" w:space="0"/>
              <w:right w:val="single" w:color="auto" w:sz="4" w:space="0"/>
            </w:tcBorders>
            <w:vAlign w:val="center"/>
          </w:tcPr>
          <w:p w14:paraId="41CFE94D">
            <w:pPr>
              <w:rPr>
                <w:rFonts w:hint="eastAsia" w:ascii="宋体" w:hAnsi="宋体" w:eastAsia="宋体"/>
                <w:bCs/>
                <w:szCs w:val="21"/>
              </w:rPr>
            </w:pPr>
            <w:r>
              <w:rPr>
                <w:rFonts w:hint="eastAsia" w:ascii="宋体" w:hAnsi="宋体" w:eastAsia="宋体"/>
                <w:bCs/>
                <w:szCs w:val="21"/>
              </w:rPr>
              <w:t>符合□不符合□</w:t>
            </w:r>
          </w:p>
        </w:tc>
      </w:tr>
      <w:tr w14:paraId="6CB4A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14:paraId="4BE370CA">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14:paraId="434D6E38">
            <w:pPr>
              <w:rPr>
                <w:rFonts w:hint="eastAsia" w:ascii="宋体" w:hAnsi="宋体" w:eastAsia="宋体"/>
                <w:bCs/>
                <w:szCs w:val="21"/>
                <w:highlight w:val="none"/>
              </w:rPr>
            </w:pPr>
          </w:p>
        </w:tc>
        <w:tc>
          <w:tcPr>
            <w:tcW w:w="4995" w:type="dxa"/>
            <w:tcBorders>
              <w:top w:val="single" w:color="auto" w:sz="4" w:space="0"/>
              <w:left w:val="single" w:color="auto" w:sz="4" w:space="0"/>
              <w:bottom w:val="single" w:color="auto" w:sz="4" w:space="0"/>
              <w:right w:val="single" w:color="auto" w:sz="4" w:space="0"/>
            </w:tcBorders>
            <w:vAlign w:val="center"/>
          </w:tcPr>
          <w:p w14:paraId="61F55996">
            <w:pPr>
              <w:rPr>
                <w:rFonts w:hint="eastAsia" w:ascii="宋体" w:hAnsi="宋体" w:eastAsia="宋体"/>
                <w:bCs/>
                <w:szCs w:val="21"/>
                <w:highlight w:val="none"/>
              </w:rPr>
            </w:pPr>
            <w:r>
              <w:rPr>
                <w:rFonts w:hint="eastAsia" w:ascii="宋体" w:hAnsi="宋体" w:eastAsia="宋体"/>
                <w:bCs/>
                <w:szCs w:val="21"/>
                <w:highlight w:val="none"/>
              </w:rPr>
              <w:t>作业层与建筑物之间进行封闭</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3588B8">
            <w:pPr>
              <w:rPr>
                <w:rFonts w:hint="eastAsia" w:ascii="宋体" w:hAnsi="宋体" w:eastAsia="宋体" w:cstheme="minorBidi"/>
                <w:bCs/>
                <w:kern w:val="2"/>
                <w:sz w:val="21"/>
                <w:szCs w:val="21"/>
                <w:highlight w:val="none"/>
                <w:lang w:val="en-US" w:eastAsia="zh-CN" w:bidi="ar-SA"/>
              </w:rPr>
            </w:pPr>
            <w:r>
              <w:rPr>
                <w:rFonts w:hint="eastAsia" w:ascii="宋体" w:hAnsi="宋体" w:eastAsia="宋体"/>
                <w:bCs/>
                <w:szCs w:val="21"/>
                <w:highlight w:val="none"/>
              </w:rPr>
              <w:t>符合□不符合□</w:t>
            </w:r>
          </w:p>
        </w:tc>
      </w:tr>
      <w:tr w14:paraId="1BE9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14:paraId="551FB98B">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14:paraId="6AC78BF3">
            <w:pPr>
              <w:rPr>
                <w:rFonts w:hint="eastAsia" w:ascii="宋体" w:hAnsi="宋体" w:eastAsia="宋体"/>
                <w:bCs/>
                <w:szCs w:val="21"/>
                <w:highlight w:val="none"/>
              </w:rPr>
            </w:pPr>
          </w:p>
        </w:tc>
        <w:tc>
          <w:tcPr>
            <w:tcW w:w="4995" w:type="dxa"/>
            <w:tcBorders>
              <w:top w:val="single" w:color="auto" w:sz="4" w:space="0"/>
              <w:left w:val="single" w:color="auto" w:sz="4" w:space="0"/>
              <w:bottom w:val="single" w:color="auto" w:sz="4" w:space="0"/>
              <w:right w:val="single" w:color="auto" w:sz="4" w:space="0"/>
            </w:tcBorders>
            <w:vAlign w:val="center"/>
          </w:tcPr>
          <w:p w14:paraId="650AD6DC">
            <w:pPr>
              <w:rPr>
                <w:rFonts w:hint="eastAsia" w:ascii="宋体" w:hAnsi="宋体" w:eastAsia="宋体"/>
                <w:bCs/>
                <w:szCs w:val="21"/>
                <w:highlight w:val="none"/>
              </w:rPr>
            </w:pPr>
            <w:r>
              <w:rPr>
                <w:rFonts w:hint="eastAsia" w:ascii="宋体" w:hAnsi="宋体" w:eastAsia="宋体" w:cs="宋体"/>
                <w:color w:val="000000"/>
                <w:kern w:val="0"/>
                <w:sz w:val="21"/>
                <w:szCs w:val="21"/>
                <w:highlight w:val="none"/>
                <w:lang w:val="en-US" w:eastAsia="zh" w:bidi="ar"/>
              </w:rPr>
              <w:t>严禁将支撑脚手架、缆风绳、混凝土输送泵管、卸料平台及大型设备的支承件等固定在作业脚手架上。严禁在作业脚手架上悬挂起重设备</w:t>
            </w:r>
            <w:r>
              <w:rPr>
                <w:rFonts w:hint="eastAsia" w:ascii="宋体" w:hAnsi="宋体" w:eastAsia="宋体" w:cs="宋体"/>
                <w:color w:val="000000"/>
                <w:kern w:val="0"/>
                <w:sz w:val="21"/>
                <w:szCs w:val="21"/>
                <w:highlight w:val="none"/>
                <w:lang w:val="en-US" w:eastAsia="zh-CN" w:bidi="ar"/>
              </w:rPr>
              <w:t>。</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1B73D3">
            <w:pPr>
              <w:rPr>
                <w:rFonts w:hint="eastAsia" w:ascii="宋体" w:hAnsi="宋体" w:eastAsia="宋体"/>
                <w:bCs/>
                <w:szCs w:val="21"/>
                <w:highlight w:val="none"/>
              </w:rPr>
            </w:pPr>
            <w:r>
              <w:rPr>
                <w:rFonts w:hint="eastAsia" w:ascii="宋体" w:hAnsi="宋体" w:eastAsia="宋体"/>
                <w:bCs/>
                <w:szCs w:val="21"/>
                <w:highlight w:val="none"/>
              </w:rPr>
              <w:t>符合□不符合□</w:t>
            </w:r>
          </w:p>
        </w:tc>
      </w:tr>
      <w:tr w14:paraId="230CC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14:paraId="0FF4B4F5">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14:paraId="3E608A6B">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14:paraId="3A2BD4D4">
            <w:pPr>
              <w:rPr>
                <w:rFonts w:hint="eastAsia" w:ascii="宋体" w:hAnsi="宋体" w:eastAsia="宋体"/>
                <w:bCs/>
                <w:szCs w:val="21"/>
              </w:rPr>
            </w:pPr>
            <w:r>
              <w:rPr>
                <w:rFonts w:hint="eastAsia" w:ascii="宋体" w:hAnsi="宋体" w:eastAsia="宋体"/>
                <w:bCs/>
                <w:szCs w:val="21"/>
              </w:rPr>
              <w:t>架体分段搭设分段使用应办理分段验收；架体搭设完毕应办理验收手续</w:t>
            </w:r>
          </w:p>
        </w:tc>
        <w:tc>
          <w:tcPr>
            <w:tcW w:w="1877" w:type="dxa"/>
            <w:gridSpan w:val="2"/>
            <w:tcBorders>
              <w:top w:val="single" w:color="auto" w:sz="4" w:space="0"/>
              <w:left w:val="single" w:color="auto" w:sz="4" w:space="0"/>
              <w:bottom w:val="single" w:color="auto" w:sz="4" w:space="0"/>
              <w:right w:val="single" w:color="auto" w:sz="4" w:space="0"/>
            </w:tcBorders>
            <w:vAlign w:val="center"/>
          </w:tcPr>
          <w:p w14:paraId="2B7ED098">
            <w:pPr>
              <w:rPr>
                <w:rFonts w:hint="eastAsia" w:ascii="宋体" w:hAnsi="宋体" w:eastAsia="宋体"/>
                <w:bCs/>
                <w:szCs w:val="21"/>
              </w:rPr>
            </w:pPr>
            <w:r>
              <w:rPr>
                <w:rFonts w:hint="eastAsia" w:ascii="宋体" w:hAnsi="宋体" w:eastAsia="宋体"/>
                <w:bCs/>
                <w:szCs w:val="21"/>
              </w:rPr>
              <w:t>符合□不符合□</w:t>
            </w:r>
          </w:p>
        </w:tc>
      </w:tr>
      <w:tr w14:paraId="65A2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14:paraId="0F356C4D">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14:paraId="04E93CC5">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14:paraId="5A6B00AF">
            <w:pPr>
              <w:rPr>
                <w:rFonts w:hint="eastAsia" w:ascii="宋体" w:hAnsi="宋体" w:eastAsia="宋体"/>
                <w:bCs/>
                <w:szCs w:val="21"/>
              </w:rPr>
            </w:pPr>
            <w:r>
              <w:rPr>
                <w:rFonts w:hint="eastAsia" w:ascii="宋体" w:hAnsi="宋体" w:eastAsia="宋体"/>
                <w:bCs/>
                <w:szCs w:val="21"/>
              </w:rPr>
              <w:t>型钢、钢管、构配件不存在弯曲、变形、锈蚀严重情况</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3BC2C1">
            <w:pPr>
              <w:rPr>
                <w:rFonts w:hint="eastAsia" w:ascii="宋体" w:hAnsi="宋体" w:eastAsia="宋体"/>
                <w:bCs/>
                <w:szCs w:val="21"/>
              </w:rPr>
            </w:pPr>
            <w:r>
              <w:rPr>
                <w:rFonts w:hint="eastAsia" w:ascii="宋体" w:hAnsi="宋体" w:eastAsia="宋体"/>
                <w:bCs/>
                <w:szCs w:val="21"/>
              </w:rPr>
              <w:t>符合□不符合□</w:t>
            </w:r>
          </w:p>
        </w:tc>
      </w:tr>
      <w:tr w14:paraId="06E5B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14:paraId="711CCFE8">
            <w:pPr>
              <w:rPr>
                <w:rFonts w:hint="eastAsia" w:ascii="宋体" w:hAnsi="宋体" w:eastAsia="宋体"/>
                <w:bCs/>
                <w:szCs w:val="21"/>
              </w:rPr>
            </w:pPr>
          </w:p>
        </w:tc>
        <w:tc>
          <w:tcPr>
            <w:tcW w:w="1059" w:type="dxa"/>
            <w:vMerge w:val="continue"/>
            <w:tcBorders>
              <w:left w:val="single" w:color="auto" w:sz="4" w:space="0"/>
              <w:bottom w:val="single" w:color="auto" w:sz="4" w:space="0"/>
              <w:right w:val="single" w:color="auto" w:sz="4" w:space="0"/>
            </w:tcBorders>
            <w:vAlign w:val="center"/>
          </w:tcPr>
          <w:p w14:paraId="04870A26">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14:paraId="793FF851">
            <w:pPr>
              <w:rPr>
                <w:rFonts w:hint="eastAsia" w:ascii="宋体" w:hAnsi="宋体" w:eastAsia="宋体"/>
                <w:bCs/>
                <w:szCs w:val="21"/>
              </w:rPr>
            </w:pPr>
            <w:r>
              <w:rPr>
                <w:rFonts w:hint="eastAsia" w:ascii="宋体" w:hAnsi="宋体" w:eastAsia="宋体"/>
                <w:bCs/>
                <w:szCs w:val="21"/>
              </w:rPr>
              <w:t>特种作业人员应持证上岗</w:t>
            </w:r>
          </w:p>
        </w:tc>
        <w:tc>
          <w:tcPr>
            <w:tcW w:w="1877" w:type="dxa"/>
            <w:gridSpan w:val="2"/>
            <w:tcBorders>
              <w:top w:val="single" w:color="auto" w:sz="4" w:space="0"/>
              <w:left w:val="single" w:color="auto" w:sz="4" w:space="0"/>
              <w:bottom w:val="single" w:color="auto" w:sz="4" w:space="0"/>
              <w:right w:val="single" w:color="auto" w:sz="4" w:space="0"/>
            </w:tcBorders>
            <w:vAlign w:val="center"/>
          </w:tcPr>
          <w:p w14:paraId="60A690A9">
            <w:pPr>
              <w:rPr>
                <w:rFonts w:hint="eastAsia" w:ascii="宋体" w:hAnsi="宋体" w:eastAsia="宋体"/>
                <w:bCs/>
                <w:szCs w:val="21"/>
              </w:rPr>
            </w:pPr>
            <w:r>
              <w:rPr>
                <w:rFonts w:hint="eastAsia" w:ascii="宋体" w:hAnsi="宋体" w:eastAsia="宋体"/>
                <w:bCs/>
                <w:szCs w:val="21"/>
              </w:rPr>
              <w:t>符合□不符合□</w:t>
            </w:r>
          </w:p>
        </w:tc>
      </w:tr>
      <w:tr w14:paraId="57F2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13" w:type="dxa"/>
            <w:vMerge w:val="restart"/>
            <w:tcBorders>
              <w:top w:val="nil"/>
              <w:left w:val="single" w:color="auto" w:sz="4" w:space="0"/>
              <w:bottom w:val="single" w:color="auto" w:sz="4" w:space="0"/>
              <w:right w:val="single" w:color="auto" w:sz="4" w:space="0"/>
            </w:tcBorders>
            <w:vAlign w:val="center"/>
          </w:tcPr>
          <w:p w14:paraId="720F5A89">
            <w:pPr>
              <w:rPr>
                <w:rFonts w:hint="eastAsia" w:ascii="宋体" w:hAnsi="宋体" w:eastAsia="宋体"/>
                <w:bCs/>
                <w:szCs w:val="21"/>
              </w:rPr>
            </w:pPr>
            <w:r>
              <w:rPr>
                <w:rFonts w:hint="eastAsia" w:ascii="宋体" w:hAnsi="宋体" w:eastAsia="宋体"/>
                <w:bCs/>
                <w:szCs w:val="21"/>
              </w:rPr>
              <w:t>序号</w:t>
            </w:r>
          </w:p>
        </w:tc>
        <w:tc>
          <w:tcPr>
            <w:tcW w:w="1059" w:type="dxa"/>
            <w:vMerge w:val="restart"/>
            <w:tcBorders>
              <w:top w:val="nil"/>
              <w:left w:val="single" w:color="auto" w:sz="4" w:space="0"/>
              <w:bottom w:val="single" w:color="auto" w:sz="4" w:space="0"/>
              <w:right w:val="single" w:color="auto" w:sz="4" w:space="0"/>
            </w:tcBorders>
            <w:vAlign w:val="center"/>
          </w:tcPr>
          <w:p w14:paraId="4444ABDB">
            <w:pPr>
              <w:rPr>
                <w:rFonts w:hint="eastAsia" w:ascii="宋体" w:hAnsi="宋体" w:eastAsia="宋体"/>
                <w:bCs/>
                <w:szCs w:val="21"/>
              </w:rPr>
            </w:pPr>
            <w:r>
              <w:rPr>
                <w:rFonts w:hint="eastAsia" w:ascii="宋体" w:hAnsi="宋体" w:eastAsia="宋体"/>
                <w:bCs/>
                <w:szCs w:val="21"/>
              </w:rPr>
              <w:t>评分项目</w:t>
            </w:r>
          </w:p>
        </w:tc>
        <w:tc>
          <w:tcPr>
            <w:tcW w:w="4995" w:type="dxa"/>
            <w:vMerge w:val="restart"/>
            <w:tcBorders>
              <w:top w:val="nil"/>
              <w:left w:val="single" w:color="auto" w:sz="4" w:space="0"/>
              <w:bottom w:val="single" w:color="auto" w:sz="4" w:space="0"/>
              <w:right w:val="single" w:color="auto" w:sz="4" w:space="0"/>
            </w:tcBorders>
            <w:vAlign w:val="center"/>
          </w:tcPr>
          <w:p w14:paraId="682EA4F1">
            <w:pPr>
              <w:jc w:val="center"/>
              <w:rPr>
                <w:rFonts w:hint="eastAsia" w:ascii="宋体" w:hAnsi="宋体" w:eastAsia="宋体"/>
                <w:bCs/>
                <w:szCs w:val="21"/>
              </w:rPr>
            </w:pPr>
            <w:r>
              <w:rPr>
                <w:rFonts w:hint="eastAsia" w:ascii="宋体" w:hAnsi="宋体" w:eastAsia="宋体"/>
                <w:bCs/>
                <w:szCs w:val="21"/>
              </w:rPr>
              <w:t>扣分标准</w:t>
            </w:r>
          </w:p>
        </w:tc>
        <w:tc>
          <w:tcPr>
            <w:tcW w:w="1877" w:type="dxa"/>
            <w:gridSpan w:val="2"/>
            <w:tcBorders>
              <w:top w:val="single" w:color="auto" w:sz="4" w:space="0"/>
              <w:left w:val="single" w:color="auto" w:sz="4" w:space="0"/>
              <w:bottom w:val="single" w:color="auto" w:sz="4" w:space="0"/>
              <w:right w:val="single" w:color="auto" w:sz="4" w:space="0"/>
            </w:tcBorders>
            <w:vAlign w:val="center"/>
          </w:tcPr>
          <w:p w14:paraId="47308361">
            <w:pPr>
              <w:jc w:val="center"/>
              <w:rPr>
                <w:rFonts w:hint="eastAsia" w:ascii="宋体" w:hAnsi="宋体" w:eastAsia="宋体"/>
                <w:bCs/>
                <w:szCs w:val="21"/>
              </w:rPr>
            </w:pPr>
            <w:r>
              <w:rPr>
                <w:rFonts w:hint="eastAsia" w:ascii="宋体" w:hAnsi="宋体" w:eastAsia="宋体"/>
                <w:bCs/>
                <w:szCs w:val="21"/>
              </w:rPr>
              <w:t>评价得分</w:t>
            </w:r>
          </w:p>
        </w:tc>
      </w:tr>
      <w:tr w14:paraId="4BC76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13" w:type="dxa"/>
            <w:vMerge w:val="continue"/>
            <w:tcBorders>
              <w:top w:val="nil"/>
              <w:left w:val="single" w:color="auto" w:sz="4" w:space="0"/>
              <w:bottom w:val="single" w:color="auto" w:sz="4" w:space="0"/>
              <w:right w:val="single" w:color="auto" w:sz="4" w:space="0"/>
            </w:tcBorders>
            <w:vAlign w:val="center"/>
          </w:tcPr>
          <w:p w14:paraId="500FA673">
            <w:pPr>
              <w:rPr>
                <w:rFonts w:hint="eastAsia" w:ascii="宋体" w:hAnsi="宋体" w:eastAsia="宋体"/>
                <w:bCs/>
                <w:szCs w:val="21"/>
              </w:rPr>
            </w:pPr>
          </w:p>
        </w:tc>
        <w:tc>
          <w:tcPr>
            <w:tcW w:w="1059" w:type="dxa"/>
            <w:vMerge w:val="continue"/>
            <w:tcBorders>
              <w:top w:val="nil"/>
              <w:left w:val="single" w:color="auto" w:sz="4" w:space="0"/>
              <w:bottom w:val="single" w:color="auto" w:sz="4" w:space="0"/>
              <w:right w:val="single" w:color="auto" w:sz="4" w:space="0"/>
            </w:tcBorders>
            <w:vAlign w:val="center"/>
          </w:tcPr>
          <w:p w14:paraId="3D323646">
            <w:pPr>
              <w:rPr>
                <w:rFonts w:hint="eastAsia" w:ascii="宋体" w:hAnsi="宋体" w:eastAsia="宋体"/>
                <w:bCs/>
                <w:szCs w:val="21"/>
              </w:rPr>
            </w:pPr>
          </w:p>
        </w:tc>
        <w:tc>
          <w:tcPr>
            <w:tcW w:w="4995" w:type="dxa"/>
            <w:vMerge w:val="continue"/>
            <w:tcBorders>
              <w:top w:val="nil"/>
              <w:left w:val="single" w:color="auto" w:sz="4" w:space="0"/>
              <w:bottom w:val="single" w:color="auto" w:sz="4" w:space="0"/>
              <w:right w:val="single" w:color="auto" w:sz="4" w:space="0"/>
            </w:tcBorders>
            <w:vAlign w:val="center"/>
          </w:tcPr>
          <w:p w14:paraId="3597C6FD">
            <w:pPr>
              <w:rPr>
                <w:rFonts w:hint="eastAsia" w:ascii="宋体" w:hAnsi="宋体" w:eastAsia="宋体"/>
                <w:bCs/>
                <w:szCs w:val="21"/>
              </w:rPr>
            </w:pPr>
          </w:p>
        </w:tc>
        <w:tc>
          <w:tcPr>
            <w:tcW w:w="1023" w:type="dxa"/>
            <w:tcBorders>
              <w:top w:val="single" w:color="auto" w:sz="4" w:space="0"/>
              <w:left w:val="single" w:color="auto" w:sz="4" w:space="0"/>
              <w:bottom w:val="single" w:color="auto" w:sz="4" w:space="0"/>
              <w:right w:val="single" w:color="auto" w:sz="4" w:space="0"/>
            </w:tcBorders>
            <w:vAlign w:val="center"/>
          </w:tcPr>
          <w:p w14:paraId="4CE103BD">
            <w:pPr>
              <w:rPr>
                <w:rFonts w:hint="eastAsia" w:ascii="宋体" w:hAnsi="宋体" w:eastAsia="宋体"/>
                <w:bCs/>
                <w:szCs w:val="21"/>
              </w:rPr>
            </w:pPr>
            <w:r>
              <w:rPr>
                <w:rFonts w:hint="eastAsia" w:ascii="宋体" w:hAnsi="宋体" w:eastAsia="宋体"/>
                <w:bCs/>
                <w:szCs w:val="21"/>
              </w:rPr>
              <w:t>应得分</w:t>
            </w:r>
          </w:p>
        </w:tc>
        <w:tc>
          <w:tcPr>
            <w:tcW w:w="854" w:type="dxa"/>
            <w:tcBorders>
              <w:top w:val="single" w:color="auto" w:sz="4" w:space="0"/>
              <w:left w:val="single" w:color="auto" w:sz="4" w:space="0"/>
              <w:bottom w:val="single" w:color="auto" w:sz="4" w:space="0"/>
              <w:right w:val="single" w:color="auto" w:sz="4" w:space="0"/>
            </w:tcBorders>
            <w:vAlign w:val="center"/>
          </w:tcPr>
          <w:p w14:paraId="2A7168C9">
            <w:pPr>
              <w:rPr>
                <w:rFonts w:hint="eastAsia" w:ascii="宋体" w:hAnsi="宋体" w:eastAsia="宋体"/>
                <w:bCs/>
                <w:szCs w:val="21"/>
              </w:rPr>
            </w:pPr>
            <w:r>
              <w:rPr>
                <w:rFonts w:hint="eastAsia" w:ascii="宋体" w:hAnsi="宋体" w:eastAsia="宋体"/>
                <w:bCs/>
                <w:szCs w:val="21"/>
              </w:rPr>
              <w:t>实得分</w:t>
            </w:r>
          </w:p>
        </w:tc>
      </w:tr>
      <w:tr w14:paraId="6523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13" w:type="dxa"/>
            <w:tcBorders>
              <w:top w:val="single" w:color="auto" w:sz="4" w:space="0"/>
              <w:left w:val="single" w:color="auto" w:sz="4" w:space="0"/>
              <w:bottom w:val="single" w:color="auto" w:sz="4" w:space="0"/>
              <w:right w:val="single" w:color="auto" w:sz="4" w:space="0"/>
            </w:tcBorders>
            <w:vAlign w:val="center"/>
          </w:tcPr>
          <w:p w14:paraId="75781EA7">
            <w:pPr>
              <w:rPr>
                <w:rFonts w:hint="eastAsia" w:ascii="宋体" w:hAnsi="宋体" w:eastAsia="宋体"/>
                <w:bCs/>
                <w:szCs w:val="21"/>
              </w:rPr>
            </w:pPr>
            <w:r>
              <w:rPr>
                <w:rFonts w:hint="eastAsia" w:ascii="宋体" w:hAnsi="宋体" w:eastAsia="宋体"/>
                <w:bCs/>
                <w:szCs w:val="21"/>
              </w:rPr>
              <w:t>1</w:t>
            </w:r>
          </w:p>
        </w:tc>
        <w:tc>
          <w:tcPr>
            <w:tcW w:w="1059" w:type="dxa"/>
            <w:tcBorders>
              <w:top w:val="single" w:color="auto" w:sz="4" w:space="0"/>
              <w:left w:val="single" w:color="auto" w:sz="4" w:space="0"/>
              <w:bottom w:val="single" w:color="auto" w:sz="4" w:space="0"/>
              <w:right w:val="single" w:color="auto" w:sz="4" w:space="0"/>
            </w:tcBorders>
            <w:vAlign w:val="center"/>
          </w:tcPr>
          <w:p w14:paraId="5405289F">
            <w:pPr>
              <w:rPr>
                <w:rFonts w:hint="eastAsia" w:ascii="宋体" w:hAnsi="宋体" w:eastAsia="宋体"/>
                <w:bCs/>
                <w:szCs w:val="21"/>
              </w:rPr>
            </w:pPr>
            <w:r>
              <w:rPr>
                <w:rFonts w:hint="eastAsia" w:ascii="宋体" w:hAnsi="宋体" w:eastAsia="宋体"/>
                <w:bCs/>
                <w:szCs w:val="21"/>
              </w:rPr>
              <w:t>架体基础</w:t>
            </w:r>
          </w:p>
        </w:tc>
        <w:tc>
          <w:tcPr>
            <w:tcW w:w="4995" w:type="dxa"/>
            <w:tcBorders>
              <w:top w:val="single" w:color="auto" w:sz="4" w:space="0"/>
              <w:left w:val="single" w:color="auto" w:sz="4" w:space="0"/>
              <w:bottom w:val="single" w:color="auto" w:sz="4" w:space="0"/>
              <w:right w:val="single" w:color="auto" w:sz="4" w:space="0"/>
            </w:tcBorders>
            <w:vAlign w:val="center"/>
          </w:tcPr>
          <w:p w14:paraId="26748FEB">
            <w:pPr>
              <w:rPr>
                <w:rFonts w:hint="eastAsia" w:ascii="宋体" w:hAnsi="宋体" w:eastAsia="宋体"/>
                <w:bCs/>
                <w:szCs w:val="21"/>
              </w:rPr>
            </w:pPr>
            <w:r>
              <w:rPr>
                <w:rFonts w:hint="eastAsia" w:ascii="宋体" w:hAnsi="宋体" w:eastAsia="宋体"/>
                <w:bCs/>
                <w:szCs w:val="21"/>
              </w:rPr>
              <w:t>未按规范要求设置纵、横向扫地杆扣5-</w:t>
            </w:r>
            <w:r>
              <w:rPr>
                <w:rFonts w:hint="eastAsia" w:ascii="宋体" w:hAnsi="宋体" w:eastAsia="宋体"/>
                <w:bCs/>
                <w:szCs w:val="21"/>
                <w:lang w:val="en-US" w:eastAsia="zh-CN"/>
              </w:rPr>
              <w:t>10</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16FB9097">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19825A8C">
            <w:pPr>
              <w:rPr>
                <w:rFonts w:hint="eastAsia" w:ascii="宋体" w:hAnsi="宋体" w:eastAsia="宋体"/>
                <w:bCs/>
                <w:szCs w:val="21"/>
              </w:rPr>
            </w:pPr>
          </w:p>
        </w:tc>
      </w:tr>
      <w:tr w14:paraId="0D1F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7" w:hRule="atLeast"/>
        </w:trPr>
        <w:tc>
          <w:tcPr>
            <w:tcW w:w="713" w:type="dxa"/>
            <w:tcBorders>
              <w:top w:val="single" w:color="auto" w:sz="4" w:space="0"/>
              <w:left w:val="single" w:color="auto" w:sz="4" w:space="0"/>
              <w:bottom w:val="single" w:color="auto" w:sz="4" w:space="0"/>
              <w:right w:val="single" w:color="auto" w:sz="4" w:space="0"/>
            </w:tcBorders>
            <w:vAlign w:val="center"/>
          </w:tcPr>
          <w:p w14:paraId="78A21ED1">
            <w:pPr>
              <w:rPr>
                <w:rFonts w:hint="eastAsia" w:ascii="宋体" w:hAnsi="宋体" w:eastAsia="宋体"/>
                <w:bCs/>
                <w:szCs w:val="21"/>
              </w:rPr>
            </w:pPr>
            <w:r>
              <w:rPr>
                <w:rFonts w:hint="eastAsia" w:ascii="宋体" w:hAnsi="宋体" w:eastAsia="宋体"/>
                <w:bCs/>
                <w:szCs w:val="21"/>
              </w:rPr>
              <w:t>2</w:t>
            </w:r>
          </w:p>
        </w:tc>
        <w:tc>
          <w:tcPr>
            <w:tcW w:w="1059" w:type="dxa"/>
            <w:tcBorders>
              <w:top w:val="single" w:color="auto" w:sz="4" w:space="0"/>
              <w:left w:val="single" w:color="auto" w:sz="4" w:space="0"/>
              <w:bottom w:val="single" w:color="auto" w:sz="4" w:space="0"/>
              <w:right w:val="single" w:color="auto" w:sz="4" w:space="0"/>
            </w:tcBorders>
            <w:vAlign w:val="center"/>
          </w:tcPr>
          <w:p w14:paraId="4DD32B99">
            <w:pPr>
              <w:rPr>
                <w:rFonts w:hint="eastAsia" w:ascii="宋体" w:hAnsi="宋体" w:eastAsia="宋体"/>
                <w:bCs/>
                <w:szCs w:val="21"/>
              </w:rPr>
            </w:pPr>
            <w:r>
              <w:rPr>
                <w:rFonts w:hint="eastAsia" w:ascii="宋体" w:hAnsi="宋体" w:eastAsia="宋体"/>
                <w:bCs/>
                <w:szCs w:val="21"/>
              </w:rPr>
              <w:t>悬挑钢梁</w:t>
            </w:r>
          </w:p>
        </w:tc>
        <w:tc>
          <w:tcPr>
            <w:tcW w:w="4995" w:type="dxa"/>
            <w:tcBorders>
              <w:top w:val="single" w:color="auto" w:sz="4" w:space="0"/>
              <w:left w:val="single" w:color="auto" w:sz="4" w:space="0"/>
              <w:bottom w:val="single" w:color="auto" w:sz="4" w:space="0"/>
              <w:right w:val="single" w:color="auto" w:sz="4" w:space="0"/>
            </w:tcBorders>
            <w:vAlign w:val="center"/>
          </w:tcPr>
          <w:p w14:paraId="49489A89">
            <w:pPr>
              <w:rPr>
                <w:rFonts w:hint="eastAsia" w:ascii="宋体" w:hAnsi="宋体" w:eastAsia="宋体"/>
                <w:bCs/>
                <w:szCs w:val="21"/>
              </w:rPr>
            </w:pPr>
            <w:r>
              <w:rPr>
                <w:rFonts w:hint="eastAsia" w:ascii="宋体" w:hAnsi="宋体" w:eastAsia="宋体"/>
                <w:bCs/>
                <w:szCs w:val="21"/>
              </w:rPr>
              <w:t>钢梁固定段长度小于悬挑段长度的1.25倍，扣10-15分；</w:t>
            </w:r>
          </w:p>
          <w:p w14:paraId="6FB1AC79">
            <w:pPr>
              <w:rPr>
                <w:rFonts w:hint="eastAsia" w:ascii="宋体" w:hAnsi="宋体" w:eastAsia="宋体"/>
                <w:bCs/>
                <w:szCs w:val="21"/>
              </w:rPr>
            </w:pPr>
            <w:r>
              <w:rPr>
                <w:rFonts w:hint="eastAsia" w:ascii="宋体" w:hAnsi="宋体" w:eastAsia="宋体"/>
                <w:bCs/>
                <w:szCs w:val="21"/>
              </w:rPr>
              <w:t>钢梁外端未设置钢丝绳或钢拉杆与上一层建筑结构拉结，每处扣2分；</w:t>
            </w:r>
          </w:p>
          <w:p w14:paraId="6EECDA66">
            <w:pPr>
              <w:rPr>
                <w:rFonts w:hint="eastAsia" w:ascii="宋体" w:hAnsi="宋体" w:eastAsia="宋体"/>
                <w:bCs/>
                <w:szCs w:val="21"/>
              </w:rPr>
            </w:pPr>
            <w:r>
              <w:rPr>
                <w:rFonts w:hint="eastAsia" w:ascii="宋体" w:hAnsi="宋体" w:eastAsia="宋体"/>
                <w:bCs/>
                <w:szCs w:val="21"/>
              </w:rPr>
              <w:t>钢梁与建筑结构锚固措施不符合规范要求，每处扣10分；</w:t>
            </w:r>
          </w:p>
          <w:p w14:paraId="2D3652E7">
            <w:pPr>
              <w:rPr>
                <w:rFonts w:hint="eastAsia" w:ascii="宋体" w:hAnsi="宋体" w:eastAsia="宋体"/>
                <w:bCs/>
                <w:szCs w:val="21"/>
              </w:rPr>
            </w:pPr>
            <w:r>
              <w:rPr>
                <w:rFonts w:hint="eastAsia" w:ascii="宋体" w:hAnsi="宋体" w:eastAsia="宋体"/>
                <w:bCs/>
                <w:szCs w:val="21"/>
              </w:rPr>
              <w:t>悬挑钢梁间距未按悬挑架架体立杆纵距设置或悬挑钢梁间距与立杆纵距不相对应时未设置联梁，扣10分。</w:t>
            </w:r>
          </w:p>
        </w:tc>
        <w:tc>
          <w:tcPr>
            <w:tcW w:w="1023" w:type="dxa"/>
            <w:tcBorders>
              <w:top w:val="single" w:color="auto" w:sz="4" w:space="0"/>
              <w:left w:val="single" w:color="auto" w:sz="4" w:space="0"/>
              <w:bottom w:val="single" w:color="auto" w:sz="4" w:space="0"/>
              <w:right w:val="single" w:color="auto" w:sz="4" w:space="0"/>
            </w:tcBorders>
            <w:vAlign w:val="center"/>
          </w:tcPr>
          <w:p w14:paraId="45F4494F">
            <w:pPr>
              <w:rPr>
                <w:rFonts w:hint="eastAsia" w:ascii="宋体" w:hAnsi="宋体" w:eastAsia="宋体"/>
                <w:bCs/>
                <w:szCs w:val="21"/>
              </w:rPr>
            </w:pPr>
            <w:r>
              <w:rPr>
                <w:rFonts w:hint="eastAsia" w:ascii="宋体" w:hAnsi="宋体" w:eastAsia="宋体"/>
                <w:bCs/>
                <w:szCs w:val="21"/>
              </w:rPr>
              <w:t>20</w:t>
            </w:r>
          </w:p>
        </w:tc>
        <w:tc>
          <w:tcPr>
            <w:tcW w:w="854" w:type="dxa"/>
            <w:tcBorders>
              <w:top w:val="single" w:color="auto" w:sz="4" w:space="0"/>
              <w:left w:val="single" w:color="auto" w:sz="4" w:space="0"/>
              <w:bottom w:val="single" w:color="auto" w:sz="4" w:space="0"/>
              <w:right w:val="single" w:color="auto" w:sz="4" w:space="0"/>
            </w:tcBorders>
            <w:vAlign w:val="center"/>
          </w:tcPr>
          <w:p w14:paraId="1E888B3C">
            <w:pPr>
              <w:rPr>
                <w:rFonts w:hint="eastAsia" w:ascii="宋体" w:hAnsi="宋体" w:eastAsia="宋体"/>
                <w:bCs/>
                <w:szCs w:val="21"/>
              </w:rPr>
            </w:pPr>
          </w:p>
        </w:tc>
      </w:tr>
      <w:tr w14:paraId="7818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713" w:type="dxa"/>
            <w:tcBorders>
              <w:top w:val="single" w:color="auto" w:sz="4" w:space="0"/>
              <w:left w:val="single" w:color="auto" w:sz="4" w:space="0"/>
              <w:bottom w:val="single" w:color="auto" w:sz="4" w:space="0"/>
              <w:right w:val="single" w:color="auto" w:sz="4" w:space="0"/>
            </w:tcBorders>
            <w:vAlign w:val="center"/>
          </w:tcPr>
          <w:p w14:paraId="37CB79C9">
            <w:pPr>
              <w:rPr>
                <w:rFonts w:hint="eastAsia" w:ascii="宋体" w:hAnsi="宋体" w:eastAsia="宋体"/>
                <w:bCs/>
                <w:szCs w:val="21"/>
              </w:rPr>
            </w:pPr>
            <w:r>
              <w:rPr>
                <w:rFonts w:hint="eastAsia" w:ascii="宋体" w:hAnsi="宋体" w:eastAsia="宋体"/>
                <w:bCs/>
                <w:szCs w:val="21"/>
              </w:rPr>
              <w:t>3</w:t>
            </w:r>
          </w:p>
        </w:tc>
        <w:tc>
          <w:tcPr>
            <w:tcW w:w="1059" w:type="dxa"/>
            <w:tcBorders>
              <w:top w:val="single" w:color="auto" w:sz="4" w:space="0"/>
              <w:left w:val="single" w:color="auto" w:sz="4" w:space="0"/>
              <w:bottom w:val="single" w:color="auto" w:sz="4" w:space="0"/>
              <w:right w:val="single" w:color="auto" w:sz="4" w:space="0"/>
            </w:tcBorders>
            <w:vAlign w:val="center"/>
          </w:tcPr>
          <w:p w14:paraId="58AEDC3B">
            <w:pPr>
              <w:rPr>
                <w:rFonts w:hint="eastAsia" w:ascii="宋体" w:hAnsi="宋体" w:eastAsia="宋体"/>
                <w:bCs/>
                <w:szCs w:val="21"/>
              </w:rPr>
            </w:pPr>
            <w:r>
              <w:rPr>
                <w:rFonts w:hint="eastAsia" w:ascii="宋体" w:hAnsi="宋体" w:eastAsia="宋体"/>
                <w:bCs/>
                <w:szCs w:val="21"/>
              </w:rPr>
              <w:t>架体稳定</w:t>
            </w:r>
          </w:p>
        </w:tc>
        <w:tc>
          <w:tcPr>
            <w:tcW w:w="4995" w:type="dxa"/>
            <w:tcBorders>
              <w:top w:val="single" w:color="auto" w:sz="4" w:space="0"/>
              <w:left w:val="single" w:color="auto" w:sz="4" w:space="0"/>
              <w:bottom w:val="single" w:color="auto" w:sz="4" w:space="0"/>
              <w:right w:val="single" w:color="auto" w:sz="4" w:space="0"/>
            </w:tcBorders>
            <w:vAlign w:val="center"/>
          </w:tcPr>
          <w:p w14:paraId="30FA9C1A">
            <w:pPr>
              <w:rPr>
                <w:rFonts w:hint="eastAsia" w:ascii="宋体" w:hAnsi="宋体" w:eastAsia="宋体"/>
                <w:bCs/>
                <w:szCs w:val="21"/>
              </w:rPr>
            </w:pPr>
            <w:r>
              <w:rPr>
                <w:rFonts w:hint="eastAsia" w:ascii="宋体" w:hAnsi="宋体" w:eastAsia="宋体"/>
                <w:bCs/>
                <w:szCs w:val="21"/>
              </w:rPr>
              <w:t>未按规范及方案要求设置斜撑、拉杆，扣5-8分；</w:t>
            </w:r>
          </w:p>
          <w:p w14:paraId="37EAFD26">
            <w:pPr>
              <w:rPr>
                <w:rFonts w:hint="eastAsia" w:ascii="宋体" w:hAnsi="宋体" w:eastAsia="宋体"/>
                <w:bCs/>
                <w:szCs w:val="21"/>
              </w:rPr>
            </w:pPr>
            <w:r>
              <w:rPr>
                <w:rFonts w:hint="eastAsia" w:ascii="宋体" w:hAnsi="宋体" w:eastAsia="宋体"/>
                <w:bCs/>
                <w:szCs w:val="21"/>
              </w:rPr>
              <w:t>竖向斜杆两端未固定在纵、横向水平杆与立杆汇交的盘扣结点处，每处扣2分；</w:t>
            </w:r>
          </w:p>
          <w:p w14:paraId="14CF948F">
            <w:pPr>
              <w:rPr>
                <w:rFonts w:hint="eastAsia" w:ascii="宋体" w:hAnsi="宋体" w:eastAsia="宋体"/>
                <w:bCs/>
                <w:szCs w:val="21"/>
              </w:rPr>
            </w:pPr>
            <w:r>
              <w:rPr>
                <w:rFonts w:hint="eastAsia" w:ascii="宋体" w:hAnsi="宋体" w:eastAsia="宋体"/>
                <w:bCs/>
                <w:szCs w:val="21"/>
              </w:rPr>
              <w:t>悬挑脚手架立杆底部与钢梁连接处未设置可靠固定措施，每处扣2分；</w:t>
            </w:r>
          </w:p>
        </w:tc>
        <w:tc>
          <w:tcPr>
            <w:tcW w:w="1023" w:type="dxa"/>
            <w:tcBorders>
              <w:top w:val="single" w:color="auto" w:sz="4" w:space="0"/>
              <w:left w:val="single" w:color="auto" w:sz="4" w:space="0"/>
              <w:bottom w:val="single" w:color="auto" w:sz="4" w:space="0"/>
              <w:right w:val="single" w:color="auto" w:sz="4" w:space="0"/>
            </w:tcBorders>
            <w:vAlign w:val="center"/>
          </w:tcPr>
          <w:p w14:paraId="0C0B7A77">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7567E23E">
            <w:pPr>
              <w:rPr>
                <w:rFonts w:hint="eastAsia" w:ascii="宋体" w:hAnsi="宋体" w:eastAsia="宋体"/>
                <w:bCs/>
                <w:szCs w:val="21"/>
              </w:rPr>
            </w:pPr>
          </w:p>
        </w:tc>
      </w:tr>
      <w:tr w14:paraId="59987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tcBorders>
              <w:top w:val="single" w:color="auto" w:sz="4" w:space="0"/>
              <w:left w:val="single" w:color="auto" w:sz="4" w:space="0"/>
              <w:bottom w:val="single" w:color="auto" w:sz="4" w:space="0"/>
              <w:right w:val="single" w:color="auto" w:sz="4" w:space="0"/>
            </w:tcBorders>
            <w:vAlign w:val="center"/>
          </w:tcPr>
          <w:p w14:paraId="2C562001">
            <w:pPr>
              <w:rPr>
                <w:rFonts w:hint="eastAsia" w:ascii="宋体" w:hAnsi="宋体" w:eastAsia="宋体"/>
                <w:bCs/>
                <w:szCs w:val="21"/>
              </w:rPr>
            </w:pPr>
            <w:r>
              <w:rPr>
                <w:rFonts w:hint="eastAsia" w:ascii="宋体" w:hAnsi="宋体" w:eastAsia="宋体"/>
                <w:bCs/>
                <w:szCs w:val="21"/>
              </w:rPr>
              <w:t>4</w:t>
            </w:r>
          </w:p>
        </w:tc>
        <w:tc>
          <w:tcPr>
            <w:tcW w:w="1059" w:type="dxa"/>
            <w:tcBorders>
              <w:top w:val="single" w:color="auto" w:sz="4" w:space="0"/>
              <w:left w:val="single" w:color="auto" w:sz="4" w:space="0"/>
              <w:bottom w:val="single" w:color="auto" w:sz="4" w:space="0"/>
              <w:right w:val="single" w:color="auto" w:sz="4" w:space="0"/>
            </w:tcBorders>
            <w:vAlign w:val="center"/>
          </w:tcPr>
          <w:p w14:paraId="733FE48D">
            <w:pPr>
              <w:rPr>
                <w:rFonts w:hint="eastAsia" w:ascii="宋体" w:hAnsi="宋体" w:eastAsia="宋体"/>
                <w:bCs/>
                <w:szCs w:val="21"/>
              </w:rPr>
            </w:pPr>
            <w:r>
              <w:rPr>
                <w:rFonts w:hint="eastAsia" w:ascii="宋体" w:hAnsi="宋体" w:eastAsia="宋体"/>
                <w:bCs/>
                <w:szCs w:val="21"/>
              </w:rPr>
              <w:t>架体构造</w:t>
            </w:r>
          </w:p>
        </w:tc>
        <w:tc>
          <w:tcPr>
            <w:tcW w:w="4995" w:type="dxa"/>
            <w:tcBorders>
              <w:top w:val="single" w:color="auto" w:sz="4" w:space="0"/>
              <w:left w:val="single" w:color="auto" w:sz="4" w:space="0"/>
              <w:bottom w:val="single" w:color="auto" w:sz="4" w:space="0"/>
              <w:right w:val="single" w:color="auto" w:sz="4" w:space="0"/>
            </w:tcBorders>
            <w:vAlign w:val="center"/>
          </w:tcPr>
          <w:p w14:paraId="474B3A58">
            <w:pPr>
              <w:rPr>
                <w:rFonts w:hint="eastAsia" w:ascii="宋体" w:hAnsi="宋体" w:eastAsia="宋体"/>
                <w:bCs/>
                <w:szCs w:val="21"/>
              </w:rPr>
            </w:pPr>
            <w:r>
              <w:rPr>
                <w:rFonts w:hint="eastAsia" w:ascii="宋体" w:hAnsi="宋体" w:eastAsia="宋体"/>
                <w:bCs/>
                <w:szCs w:val="21"/>
              </w:rPr>
              <w:t>立杆、水平杆间距超过规范及方案要求，每处扣2分；</w:t>
            </w:r>
          </w:p>
          <w:p w14:paraId="2F98F4B8">
            <w:pPr>
              <w:rPr>
                <w:rFonts w:hint="eastAsia" w:ascii="宋体" w:hAnsi="宋体" w:eastAsia="宋体"/>
                <w:bCs/>
                <w:szCs w:val="21"/>
              </w:rPr>
            </w:pPr>
            <w:r>
              <w:rPr>
                <w:rFonts w:hint="eastAsia" w:ascii="宋体" w:hAnsi="宋体" w:eastAsia="宋体"/>
                <w:bCs/>
                <w:szCs w:val="21"/>
              </w:rPr>
              <w:t>立杆、水平杆、剪刀撑接长不符合规范要求，每处扣2分；</w:t>
            </w:r>
          </w:p>
          <w:p w14:paraId="698DE85C">
            <w:pPr>
              <w:rPr>
                <w:rFonts w:hint="eastAsia" w:ascii="宋体" w:hAnsi="宋体" w:eastAsia="宋体"/>
                <w:bCs/>
                <w:szCs w:val="21"/>
              </w:rPr>
            </w:pPr>
            <w:r>
              <w:rPr>
                <w:rFonts w:hint="eastAsia" w:ascii="宋体" w:hAnsi="宋体" w:eastAsia="宋体"/>
                <w:bCs/>
                <w:szCs w:val="21"/>
              </w:rPr>
              <w:t>剪刀撑斜杆与架体杆件固定不符合规范要求，每处扣2分；</w:t>
            </w:r>
          </w:p>
          <w:p w14:paraId="5060119E">
            <w:pPr>
              <w:rPr>
                <w:rFonts w:hint="eastAsia" w:ascii="宋体" w:hAnsi="宋体" w:eastAsia="宋体"/>
                <w:bCs/>
                <w:szCs w:val="21"/>
              </w:rPr>
            </w:pPr>
            <w:r>
              <w:rPr>
                <w:rFonts w:hint="eastAsia" w:ascii="宋体" w:hAnsi="宋体" w:eastAsia="宋体"/>
                <w:bCs/>
                <w:szCs w:val="21"/>
              </w:rPr>
              <w:t>未在立杆与纵向水平杆交点处设置横向水平杆，每处扣2分；</w:t>
            </w:r>
          </w:p>
          <w:p w14:paraId="473ACA17">
            <w:pPr>
              <w:rPr>
                <w:rFonts w:hint="eastAsia" w:ascii="宋体" w:hAnsi="宋体" w:eastAsia="宋体"/>
                <w:bCs/>
                <w:szCs w:val="21"/>
              </w:rPr>
            </w:pPr>
            <w:r>
              <w:rPr>
                <w:rFonts w:hint="eastAsia" w:ascii="宋体" w:hAnsi="宋体" w:eastAsia="宋体"/>
                <w:bCs/>
                <w:szCs w:val="21"/>
              </w:rPr>
              <w:t>脚手板规格、材质不符合要求，扣5-8分；</w:t>
            </w:r>
          </w:p>
          <w:p w14:paraId="28F82384">
            <w:pPr>
              <w:rPr>
                <w:rFonts w:hint="eastAsia" w:ascii="宋体" w:hAnsi="宋体" w:eastAsia="宋体"/>
                <w:bCs/>
                <w:szCs w:val="21"/>
              </w:rPr>
            </w:pPr>
            <w:r>
              <w:rPr>
                <w:rFonts w:hint="eastAsia" w:ascii="宋体" w:hAnsi="宋体" w:eastAsia="宋体"/>
                <w:bCs/>
                <w:szCs w:val="21"/>
              </w:rPr>
              <w:t>脚手板未满铺或铺设不严、不牢、不稳，每处扣2分。</w:t>
            </w:r>
          </w:p>
        </w:tc>
        <w:tc>
          <w:tcPr>
            <w:tcW w:w="1023" w:type="dxa"/>
            <w:tcBorders>
              <w:top w:val="single" w:color="auto" w:sz="4" w:space="0"/>
              <w:left w:val="single" w:color="auto" w:sz="4" w:space="0"/>
              <w:bottom w:val="single" w:color="auto" w:sz="4" w:space="0"/>
              <w:right w:val="single" w:color="auto" w:sz="4" w:space="0"/>
            </w:tcBorders>
            <w:vAlign w:val="center"/>
          </w:tcPr>
          <w:p w14:paraId="672276E4">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36008BA2">
            <w:pPr>
              <w:rPr>
                <w:rFonts w:hint="eastAsia" w:ascii="宋体" w:hAnsi="宋体" w:eastAsia="宋体"/>
                <w:bCs/>
                <w:szCs w:val="21"/>
              </w:rPr>
            </w:pPr>
          </w:p>
        </w:tc>
      </w:tr>
      <w:tr w14:paraId="6D02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713" w:type="dxa"/>
            <w:tcBorders>
              <w:top w:val="single" w:color="auto" w:sz="4" w:space="0"/>
              <w:left w:val="single" w:color="auto" w:sz="4" w:space="0"/>
              <w:bottom w:val="single" w:color="auto" w:sz="4" w:space="0"/>
              <w:right w:val="single" w:color="auto" w:sz="4" w:space="0"/>
            </w:tcBorders>
            <w:vAlign w:val="center"/>
          </w:tcPr>
          <w:p w14:paraId="6129A8A2">
            <w:pPr>
              <w:rPr>
                <w:rFonts w:hint="eastAsia" w:ascii="宋体" w:hAnsi="宋体" w:eastAsia="宋体"/>
                <w:bCs/>
                <w:szCs w:val="21"/>
              </w:rPr>
            </w:pPr>
            <w:r>
              <w:rPr>
                <w:rFonts w:hint="eastAsia" w:ascii="宋体" w:hAnsi="宋体" w:eastAsia="宋体"/>
                <w:bCs/>
                <w:szCs w:val="21"/>
              </w:rPr>
              <w:t>5</w:t>
            </w:r>
          </w:p>
        </w:tc>
        <w:tc>
          <w:tcPr>
            <w:tcW w:w="1059" w:type="dxa"/>
            <w:tcBorders>
              <w:top w:val="single" w:color="auto" w:sz="4" w:space="0"/>
              <w:left w:val="single" w:color="auto" w:sz="4" w:space="0"/>
              <w:bottom w:val="single" w:color="auto" w:sz="4" w:space="0"/>
              <w:right w:val="single" w:color="auto" w:sz="4" w:space="0"/>
            </w:tcBorders>
            <w:vAlign w:val="center"/>
          </w:tcPr>
          <w:p w14:paraId="19DC0752">
            <w:pPr>
              <w:rPr>
                <w:rFonts w:hint="eastAsia" w:ascii="宋体" w:hAnsi="宋体" w:eastAsia="宋体"/>
                <w:bCs/>
                <w:szCs w:val="21"/>
              </w:rPr>
            </w:pPr>
            <w:r>
              <w:rPr>
                <w:rFonts w:hint="eastAsia"/>
                <w:color w:val="000000" w:themeColor="text1"/>
                <w:highlight w:val="none"/>
                <w14:textFill>
                  <w14:solidFill>
                    <w14:schemeClr w14:val="tx1"/>
                  </w14:solidFill>
                </w14:textFill>
              </w:rPr>
              <w:t>架体</w:t>
            </w:r>
            <w:r>
              <w:rPr>
                <w:rFonts w:hint="eastAsia" w:ascii="宋体" w:hAnsi="宋体" w:eastAsia="宋体"/>
                <w:bCs/>
                <w:szCs w:val="21"/>
              </w:rPr>
              <w:t>荷载</w:t>
            </w:r>
          </w:p>
        </w:tc>
        <w:tc>
          <w:tcPr>
            <w:tcW w:w="4995" w:type="dxa"/>
            <w:tcBorders>
              <w:top w:val="single" w:color="auto" w:sz="4" w:space="0"/>
              <w:left w:val="single" w:color="auto" w:sz="4" w:space="0"/>
              <w:bottom w:val="single" w:color="auto" w:sz="4" w:space="0"/>
              <w:right w:val="single" w:color="auto" w:sz="4" w:space="0"/>
            </w:tcBorders>
            <w:vAlign w:val="center"/>
          </w:tcPr>
          <w:p w14:paraId="273F92A7">
            <w:pPr>
              <w:rPr>
                <w:rFonts w:hint="eastAsia" w:ascii="宋体" w:hAnsi="宋体" w:eastAsia="宋体"/>
                <w:bCs/>
                <w:szCs w:val="21"/>
              </w:rPr>
            </w:pPr>
            <w:r>
              <w:rPr>
                <w:rFonts w:hint="eastAsia" w:ascii="宋体" w:hAnsi="宋体" w:eastAsia="宋体"/>
                <w:bCs/>
                <w:szCs w:val="21"/>
              </w:rPr>
              <w:t>施工荷载堆放不均匀，每处扣5分；</w:t>
            </w:r>
          </w:p>
        </w:tc>
        <w:tc>
          <w:tcPr>
            <w:tcW w:w="1023" w:type="dxa"/>
            <w:tcBorders>
              <w:top w:val="single" w:color="auto" w:sz="4" w:space="0"/>
              <w:left w:val="single" w:color="auto" w:sz="4" w:space="0"/>
              <w:bottom w:val="single" w:color="auto" w:sz="4" w:space="0"/>
              <w:right w:val="single" w:color="auto" w:sz="4" w:space="0"/>
            </w:tcBorders>
            <w:vAlign w:val="center"/>
          </w:tcPr>
          <w:p w14:paraId="1F657944">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7AD4B78F">
            <w:pPr>
              <w:rPr>
                <w:rFonts w:hint="eastAsia" w:ascii="宋体" w:hAnsi="宋体" w:eastAsia="宋体"/>
                <w:bCs/>
                <w:szCs w:val="21"/>
              </w:rPr>
            </w:pPr>
          </w:p>
        </w:tc>
      </w:tr>
      <w:tr w14:paraId="32D3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713" w:type="dxa"/>
            <w:tcBorders>
              <w:top w:val="single" w:color="auto" w:sz="4" w:space="0"/>
              <w:left w:val="single" w:color="auto" w:sz="4" w:space="0"/>
              <w:bottom w:val="single" w:color="auto" w:sz="4" w:space="0"/>
              <w:right w:val="single" w:color="auto" w:sz="4" w:space="0"/>
            </w:tcBorders>
            <w:vAlign w:val="center"/>
          </w:tcPr>
          <w:p w14:paraId="50F6764A">
            <w:pPr>
              <w:rPr>
                <w:rFonts w:hint="eastAsia" w:ascii="宋体" w:hAnsi="宋体" w:eastAsia="宋体"/>
                <w:bCs/>
                <w:szCs w:val="21"/>
              </w:rPr>
            </w:pPr>
            <w:r>
              <w:rPr>
                <w:rFonts w:hint="eastAsia" w:ascii="宋体" w:hAnsi="宋体" w:eastAsia="宋体"/>
                <w:bCs/>
                <w:szCs w:val="21"/>
              </w:rPr>
              <w:t>6</w:t>
            </w:r>
          </w:p>
        </w:tc>
        <w:tc>
          <w:tcPr>
            <w:tcW w:w="1059" w:type="dxa"/>
            <w:tcBorders>
              <w:top w:val="single" w:color="auto" w:sz="4" w:space="0"/>
              <w:left w:val="single" w:color="auto" w:sz="4" w:space="0"/>
              <w:bottom w:val="single" w:color="auto" w:sz="4" w:space="0"/>
              <w:right w:val="single" w:color="auto" w:sz="4" w:space="0"/>
            </w:tcBorders>
            <w:vAlign w:val="center"/>
          </w:tcPr>
          <w:p w14:paraId="693A5B42">
            <w:pPr>
              <w:rPr>
                <w:rFonts w:hint="eastAsia" w:ascii="宋体" w:hAnsi="宋体" w:eastAsia="宋体"/>
                <w:bCs/>
                <w:szCs w:val="21"/>
              </w:rPr>
            </w:pPr>
            <w:r>
              <w:rPr>
                <w:rFonts w:hint="eastAsia" w:ascii="宋体" w:hAnsi="宋体" w:eastAsia="宋体"/>
                <w:bCs/>
                <w:szCs w:val="21"/>
              </w:rPr>
              <w:t>验收</w:t>
            </w:r>
          </w:p>
        </w:tc>
        <w:tc>
          <w:tcPr>
            <w:tcW w:w="4995" w:type="dxa"/>
            <w:tcBorders>
              <w:top w:val="single" w:color="auto" w:sz="4" w:space="0"/>
              <w:left w:val="single" w:color="auto" w:sz="4" w:space="0"/>
              <w:bottom w:val="single" w:color="auto" w:sz="4" w:space="0"/>
              <w:right w:val="single" w:color="auto" w:sz="4" w:space="0"/>
            </w:tcBorders>
            <w:vAlign w:val="center"/>
          </w:tcPr>
          <w:p w14:paraId="03CA2175">
            <w:pPr>
              <w:rPr>
                <w:rFonts w:hint="eastAsia" w:ascii="宋体" w:hAnsi="宋体" w:eastAsia="宋体"/>
                <w:bCs/>
                <w:szCs w:val="21"/>
              </w:rPr>
            </w:pPr>
            <w:r>
              <w:rPr>
                <w:rFonts w:hint="eastAsia" w:ascii="宋体" w:hAnsi="宋体" w:eastAsia="宋体"/>
                <w:bCs/>
                <w:szCs w:val="21"/>
              </w:rPr>
              <w:t>未记录量化的验收内容，扣5</w:t>
            </w:r>
            <w:r>
              <w:rPr>
                <w:rFonts w:hint="eastAsia" w:ascii="宋体" w:hAnsi="宋体" w:eastAsia="宋体"/>
                <w:bCs/>
                <w:szCs w:val="21"/>
                <w:lang w:val="en-US" w:eastAsia="zh-CN"/>
              </w:rPr>
              <w:t>-10</w:t>
            </w:r>
            <w:r>
              <w:rPr>
                <w:rFonts w:hint="eastAsia" w:ascii="宋体" w:hAnsi="宋体" w:eastAsia="宋体"/>
                <w:bCs/>
                <w:szCs w:val="21"/>
              </w:rPr>
              <w:t>分；</w:t>
            </w:r>
          </w:p>
          <w:p w14:paraId="0E20E958">
            <w:pPr>
              <w:rPr>
                <w:rFonts w:hint="eastAsia" w:ascii="宋体" w:hAnsi="宋体" w:eastAsia="宋体"/>
                <w:bCs/>
                <w:szCs w:val="21"/>
              </w:rPr>
            </w:pPr>
            <w:r>
              <w:rPr>
                <w:rFonts w:hint="eastAsia" w:ascii="宋体" w:hAnsi="宋体" w:eastAsia="宋体"/>
                <w:bCs/>
                <w:szCs w:val="21"/>
              </w:rPr>
              <w:t>交底无针对性的，扣5-8分；</w:t>
            </w:r>
          </w:p>
          <w:p w14:paraId="3881565C">
            <w:pPr>
              <w:rPr>
                <w:rFonts w:hint="eastAsia" w:ascii="宋体" w:hAnsi="宋体" w:eastAsia="宋体"/>
                <w:bCs/>
                <w:szCs w:val="21"/>
              </w:rPr>
            </w:pPr>
            <w:r>
              <w:rPr>
                <w:rFonts w:hint="eastAsia" w:ascii="宋体" w:hAnsi="宋体" w:eastAsia="宋体"/>
                <w:bCs/>
                <w:szCs w:val="21"/>
              </w:rPr>
              <w:t>责任人未签字确认，扣5分；</w:t>
            </w:r>
          </w:p>
        </w:tc>
        <w:tc>
          <w:tcPr>
            <w:tcW w:w="1023" w:type="dxa"/>
            <w:tcBorders>
              <w:top w:val="single" w:color="auto" w:sz="4" w:space="0"/>
              <w:left w:val="single" w:color="auto" w:sz="4" w:space="0"/>
              <w:bottom w:val="single" w:color="auto" w:sz="4" w:space="0"/>
              <w:right w:val="single" w:color="auto" w:sz="4" w:space="0"/>
            </w:tcBorders>
            <w:vAlign w:val="center"/>
          </w:tcPr>
          <w:p w14:paraId="2C8341F1">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14:paraId="0637ADB3">
            <w:pPr>
              <w:rPr>
                <w:rFonts w:hint="eastAsia" w:ascii="宋体" w:hAnsi="宋体" w:eastAsia="宋体"/>
                <w:bCs/>
                <w:szCs w:val="21"/>
              </w:rPr>
            </w:pPr>
          </w:p>
        </w:tc>
      </w:tr>
      <w:tr w14:paraId="6EE4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713" w:type="dxa"/>
            <w:tcBorders>
              <w:top w:val="single" w:color="auto" w:sz="4" w:space="0"/>
              <w:left w:val="single" w:color="auto" w:sz="4" w:space="0"/>
              <w:bottom w:val="single" w:color="auto" w:sz="4" w:space="0"/>
              <w:right w:val="single" w:color="auto" w:sz="4" w:space="0"/>
            </w:tcBorders>
            <w:vAlign w:val="center"/>
          </w:tcPr>
          <w:p w14:paraId="7A9F23B8">
            <w:pPr>
              <w:rPr>
                <w:rFonts w:hint="eastAsia" w:ascii="宋体" w:hAnsi="宋体" w:eastAsia="宋体"/>
                <w:bCs/>
                <w:szCs w:val="21"/>
                <w:highlight w:val="none"/>
              </w:rPr>
            </w:pPr>
            <w:r>
              <w:rPr>
                <w:rFonts w:hint="eastAsia" w:ascii="宋体" w:hAnsi="宋体" w:eastAsia="宋体"/>
                <w:bCs/>
                <w:szCs w:val="21"/>
                <w:highlight w:val="none"/>
              </w:rPr>
              <w:t>7</w:t>
            </w:r>
          </w:p>
        </w:tc>
        <w:tc>
          <w:tcPr>
            <w:tcW w:w="1059" w:type="dxa"/>
            <w:tcBorders>
              <w:top w:val="single" w:color="auto" w:sz="4" w:space="0"/>
              <w:left w:val="single" w:color="auto" w:sz="4" w:space="0"/>
              <w:bottom w:val="single" w:color="auto" w:sz="4" w:space="0"/>
              <w:right w:val="single" w:color="auto" w:sz="4" w:space="0"/>
            </w:tcBorders>
            <w:vAlign w:val="center"/>
          </w:tcPr>
          <w:p w14:paraId="30D64D95">
            <w:pPr>
              <w:rPr>
                <w:rFonts w:hint="eastAsia" w:ascii="宋体" w:hAnsi="宋体" w:eastAsia="宋体"/>
                <w:bCs/>
                <w:szCs w:val="21"/>
                <w:highlight w:val="none"/>
              </w:rPr>
            </w:pPr>
            <w:r>
              <w:rPr>
                <w:rFonts w:hint="eastAsia" w:ascii="宋体" w:hAnsi="宋体" w:eastAsia="宋体"/>
                <w:bCs/>
                <w:szCs w:val="21"/>
                <w:highlight w:val="none"/>
              </w:rPr>
              <w:t>架体防护</w:t>
            </w:r>
          </w:p>
        </w:tc>
        <w:tc>
          <w:tcPr>
            <w:tcW w:w="4995" w:type="dxa"/>
            <w:tcBorders>
              <w:top w:val="single" w:color="auto" w:sz="4" w:space="0"/>
              <w:left w:val="single" w:color="auto" w:sz="4" w:space="0"/>
              <w:bottom w:val="single" w:color="auto" w:sz="4" w:space="0"/>
              <w:right w:val="single" w:color="auto" w:sz="4" w:space="0"/>
            </w:tcBorders>
            <w:vAlign w:val="center"/>
          </w:tcPr>
          <w:p w14:paraId="3E9A7616">
            <w:pPr>
              <w:rPr>
                <w:rFonts w:hint="eastAsia" w:ascii="宋体" w:hAnsi="宋体" w:eastAsia="宋体"/>
                <w:bCs/>
                <w:szCs w:val="21"/>
                <w:highlight w:val="none"/>
              </w:rPr>
            </w:pPr>
            <w:r>
              <w:rPr>
                <w:rFonts w:hint="eastAsia" w:ascii="宋体" w:hAnsi="宋体" w:eastAsia="宋体"/>
                <w:bCs/>
                <w:szCs w:val="21"/>
                <w:highlight w:val="none"/>
              </w:rPr>
              <w:t>架体外侧未采用密目式安全网封闭或网间不严，扣5-</w:t>
            </w:r>
            <w:r>
              <w:rPr>
                <w:rFonts w:hint="eastAsia" w:ascii="宋体" w:hAnsi="宋体" w:eastAsia="宋体"/>
                <w:bCs/>
                <w:szCs w:val="21"/>
                <w:highlight w:val="none"/>
                <w:lang w:val="en-US" w:eastAsia="zh-CN"/>
              </w:rPr>
              <w:t>10</w:t>
            </w:r>
            <w:r>
              <w:rPr>
                <w:rFonts w:hint="eastAsia" w:ascii="宋体" w:hAnsi="宋体" w:eastAsia="宋体"/>
                <w:bCs/>
                <w:szCs w:val="21"/>
                <w:highlight w:val="none"/>
              </w:rPr>
              <w:t>分；</w:t>
            </w:r>
          </w:p>
          <w:p w14:paraId="09543B61">
            <w:pPr>
              <w:rPr>
                <w:rFonts w:hint="eastAsia" w:ascii="宋体" w:hAnsi="宋体" w:eastAsia="宋体"/>
                <w:bCs/>
                <w:szCs w:val="21"/>
                <w:highlight w:val="none"/>
              </w:rPr>
            </w:pPr>
            <w:r>
              <w:rPr>
                <w:rFonts w:hint="eastAsia" w:ascii="宋体" w:hAnsi="宋体" w:eastAsia="宋体"/>
                <w:bCs/>
                <w:szCs w:val="21"/>
                <w:highlight w:val="none"/>
              </w:rPr>
              <w:t>作业层未用安全平网双层兜底，且以下</w:t>
            </w:r>
            <w:r>
              <w:rPr>
                <w:rFonts w:hint="eastAsia" w:ascii="宋体" w:hAnsi="宋体" w:eastAsia="宋体" w:cs="宋体"/>
                <w:color w:val="000000"/>
                <w:kern w:val="0"/>
                <w:sz w:val="21"/>
                <w:szCs w:val="21"/>
                <w:highlight w:val="none"/>
                <w:lang w:val="en-US" w:eastAsia="zh" w:bidi="ar"/>
              </w:rPr>
              <w:t>每三层或高度不大于10m</w:t>
            </w:r>
            <w:r>
              <w:rPr>
                <w:rFonts w:hint="eastAsia" w:ascii="宋体" w:hAnsi="宋体" w:eastAsia="宋体"/>
                <w:bCs/>
                <w:szCs w:val="21"/>
                <w:highlight w:val="none"/>
              </w:rPr>
              <w:t>未用安全平网封闭，扣</w:t>
            </w:r>
            <w:r>
              <w:rPr>
                <w:rFonts w:hint="eastAsia" w:ascii="宋体" w:hAnsi="宋体" w:eastAsia="宋体"/>
                <w:bCs/>
                <w:szCs w:val="21"/>
                <w:highlight w:val="none"/>
                <w:lang w:val="en-US" w:eastAsia="zh-CN"/>
              </w:rPr>
              <w:t>5-10</w:t>
            </w:r>
            <w:r>
              <w:rPr>
                <w:rFonts w:hint="eastAsia" w:ascii="宋体" w:hAnsi="宋体" w:eastAsia="宋体"/>
                <w:bCs/>
                <w:szCs w:val="21"/>
                <w:highlight w:val="none"/>
              </w:rPr>
              <w:t>分；</w:t>
            </w:r>
          </w:p>
          <w:p w14:paraId="1343256A">
            <w:pPr>
              <w:rPr>
                <w:rFonts w:hint="eastAsia" w:ascii="宋体" w:hAnsi="宋体" w:eastAsia="宋体"/>
                <w:bCs/>
                <w:szCs w:val="21"/>
                <w:highlight w:val="none"/>
              </w:rPr>
            </w:pPr>
            <w:r>
              <w:rPr>
                <w:rFonts w:hint="eastAsia" w:ascii="宋体" w:hAnsi="宋体" w:eastAsia="宋体"/>
                <w:bCs/>
                <w:szCs w:val="21"/>
                <w:highlight w:val="none"/>
              </w:rPr>
              <w:t>作业层外侧未在高度1.2m和0.6m处设置上、中两道防护栏杆，扣5分；</w:t>
            </w:r>
          </w:p>
          <w:p w14:paraId="2B061164">
            <w:pPr>
              <w:rPr>
                <w:rFonts w:hint="eastAsia" w:ascii="宋体" w:hAnsi="宋体" w:eastAsia="宋体"/>
                <w:bCs/>
                <w:szCs w:val="21"/>
                <w:highlight w:val="none"/>
              </w:rPr>
            </w:pPr>
            <w:r>
              <w:rPr>
                <w:rFonts w:hint="eastAsia" w:ascii="宋体" w:hAnsi="宋体" w:eastAsia="宋体"/>
                <w:bCs/>
                <w:szCs w:val="21"/>
                <w:highlight w:val="none"/>
              </w:rPr>
              <w:t>作业层未设置高度不小于180mm的挡脚板，扣5-</w:t>
            </w:r>
            <w:r>
              <w:rPr>
                <w:rFonts w:hint="eastAsia" w:ascii="宋体" w:hAnsi="宋体" w:eastAsia="宋体"/>
                <w:bCs/>
                <w:szCs w:val="21"/>
                <w:highlight w:val="none"/>
                <w:lang w:val="en-US" w:eastAsia="zh-CN"/>
              </w:rPr>
              <w:t>10</w:t>
            </w:r>
            <w:r>
              <w:rPr>
                <w:rFonts w:hint="eastAsia" w:ascii="宋体" w:hAnsi="宋体" w:eastAsia="宋体"/>
                <w:bCs/>
                <w:szCs w:val="21"/>
                <w:highlight w:val="none"/>
              </w:rPr>
              <w:t>分；</w:t>
            </w:r>
          </w:p>
          <w:p w14:paraId="23D3B6DB">
            <w:pPr>
              <w:rPr>
                <w:rFonts w:hint="eastAsia" w:ascii="宋体" w:hAnsi="宋体" w:eastAsia="宋体"/>
                <w:bCs/>
                <w:szCs w:val="21"/>
                <w:highlight w:val="none"/>
              </w:rPr>
            </w:pPr>
            <w:r>
              <w:rPr>
                <w:rFonts w:hint="eastAsia" w:ascii="宋体" w:hAnsi="宋体" w:eastAsia="宋体"/>
                <w:bCs/>
                <w:szCs w:val="21"/>
                <w:highlight w:val="none"/>
              </w:rPr>
              <w:t>架体底层沿建筑结构边缘在悬挑钢梁与悬挑钢梁之间未采取措施封闭，扣</w:t>
            </w:r>
            <w:r>
              <w:rPr>
                <w:rFonts w:hint="eastAsia" w:ascii="宋体" w:hAnsi="宋体" w:eastAsia="宋体"/>
                <w:bCs/>
                <w:szCs w:val="21"/>
                <w:highlight w:val="none"/>
                <w:lang w:val="en-US" w:eastAsia="zh-CN"/>
              </w:rPr>
              <w:t>5-10</w:t>
            </w:r>
            <w:r>
              <w:rPr>
                <w:rFonts w:hint="eastAsia" w:ascii="宋体" w:hAnsi="宋体" w:eastAsia="宋体"/>
                <w:bCs/>
                <w:szCs w:val="21"/>
                <w:highlight w:val="none"/>
              </w:rPr>
              <w:t>分；</w:t>
            </w:r>
          </w:p>
          <w:p w14:paraId="300E2195">
            <w:pPr>
              <w:rPr>
                <w:rFonts w:hint="eastAsia" w:ascii="宋体" w:hAnsi="宋体" w:eastAsia="宋体"/>
                <w:bCs/>
                <w:szCs w:val="21"/>
                <w:highlight w:val="none"/>
              </w:rPr>
            </w:pPr>
            <w:r>
              <w:rPr>
                <w:rFonts w:hint="eastAsia" w:ascii="宋体" w:hAnsi="宋体" w:eastAsia="宋体"/>
                <w:bCs/>
                <w:szCs w:val="21"/>
                <w:highlight w:val="none"/>
              </w:rPr>
              <w:t>架体底层封闭不严密的，扣</w:t>
            </w:r>
            <w:r>
              <w:rPr>
                <w:rFonts w:hint="eastAsia" w:ascii="宋体" w:hAnsi="宋体" w:eastAsia="宋体"/>
                <w:bCs/>
                <w:szCs w:val="21"/>
                <w:highlight w:val="none"/>
                <w:lang w:val="en-US" w:eastAsia="zh-CN"/>
              </w:rPr>
              <w:t>5</w:t>
            </w:r>
            <w:r>
              <w:rPr>
                <w:rFonts w:hint="eastAsia" w:ascii="宋体" w:hAnsi="宋体" w:eastAsia="宋体"/>
                <w:bCs/>
                <w:szCs w:val="21"/>
                <w:highlight w:val="none"/>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7DA2E048">
            <w:pPr>
              <w:rPr>
                <w:rFonts w:hint="eastAsia" w:ascii="宋体" w:hAnsi="宋体" w:eastAsia="宋体"/>
                <w:bCs/>
                <w:szCs w:val="21"/>
                <w:highlight w:val="none"/>
              </w:rPr>
            </w:pPr>
            <w:r>
              <w:rPr>
                <w:rFonts w:hint="eastAsia" w:ascii="宋体" w:hAnsi="宋体" w:eastAsia="宋体"/>
                <w:bCs/>
                <w:szCs w:val="21"/>
                <w:highlight w:val="none"/>
              </w:rPr>
              <w:t>10</w:t>
            </w:r>
          </w:p>
        </w:tc>
        <w:tc>
          <w:tcPr>
            <w:tcW w:w="854" w:type="dxa"/>
            <w:tcBorders>
              <w:top w:val="single" w:color="auto" w:sz="4" w:space="0"/>
              <w:left w:val="single" w:color="auto" w:sz="4" w:space="0"/>
              <w:bottom w:val="single" w:color="auto" w:sz="4" w:space="0"/>
              <w:right w:val="single" w:color="auto" w:sz="4" w:space="0"/>
            </w:tcBorders>
            <w:vAlign w:val="center"/>
          </w:tcPr>
          <w:p w14:paraId="7804093E">
            <w:pPr>
              <w:rPr>
                <w:rFonts w:hint="eastAsia" w:ascii="宋体" w:hAnsi="宋体" w:eastAsia="宋体"/>
                <w:bCs/>
                <w:szCs w:val="21"/>
                <w:highlight w:val="none"/>
              </w:rPr>
            </w:pPr>
          </w:p>
        </w:tc>
      </w:tr>
      <w:tr w14:paraId="59409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713" w:type="dxa"/>
            <w:tcBorders>
              <w:top w:val="single" w:color="auto" w:sz="4" w:space="0"/>
              <w:left w:val="single" w:color="auto" w:sz="4" w:space="0"/>
              <w:bottom w:val="single" w:color="auto" w:sz="4" w:space="0"/>
              <w:right w:val="single" w:color="auto" w:sz="4" w:space="0"/>
            </w:tcBorders>
            <w:vAlign w:val="center"/>
          </w:tcPr>
          <w:p w14:paraId="350C4C77">
            <w:pPr>
              <w:rPr>
                <w:rFonts w:hint="eastAsia" w:ascii="宋体" w:hAnsi="宋体" w:eastAsia="宋体"/>
                <w:bCs/>
                <w:szCs w:val="21"/>
                <w:highlight w:val="none"/>
              </w:rPr>
            </w:pPr>
            <w:r>
              <w:rPr>
                <w:rFonts w:hint="eastAsia" w:ascii="宋体" w:hAnsi="宋体" w:eastAsia="宋体"/>
                <w:bCs/>
                <w:szCs w:val="21"/>
                <w:highlight w:val="none"/>
              </w:rPr>
              <w:t>8</w:t>
            </w:r>
          </w:p>
        </w:tc>
        <w:tc>
          <w:tcPr>
            <w:tcW w:w="1059" w:type="dxa"/>
            <w:tcBorders>
              <w:top w:val="single" w:color="auto" w:sz="4" w:space="0"/>
              <w:left w:val="single" w:color="auto" w:sz="4" w:space="0"/>
              <w:bottom w:val="single" w:color="auto" w:sz="4" w:space="0"/>
              <w:right w:val="single" w:color="auto" w:sz="4" w:space="0"/>
            </w:tcBorders>
            <w:vAlign w:val="center"/>
          </w:tcPr>
          <w:p w14:paraId="153F0490">
            <w:pPr>
              <w:rPr>
                <w:rFonts w:hint="eastAsia" w:ascii="宋体" w:hAnsi="宋体" w:eastAsia="宋体"/>
                <w:bCs/>
                <w:szCs w:val="21"/>
                <w:highlight w:val="none"/>
              </w:rPr>
            </w:pPr>
            <w:r>
              <w:rPr>
                <w:rFonts w:hint="eastAsia" w:ascii="宋体" w:hAnsi="宋体" w:eastAsia="宋体"/>
                <w:bCs/>
                <w:szCs w:val="21"/>
                <w:highlight w:val="none"/>
              </w:rPr>
              <w:t>构配件材质</w:t>
            </w:r>
          </w:p>
        </w:tc>
        <w:tc>
          <w:tcPr>
            <w:tcW w:w="4995" w:type="dxa"/>
            <w:tcBorders>
              <w:top w:val="single" w:color="auto" w:sz="4" w:space="0"/>
              <w:left w:val="single" w:color="auto" w:sz="4" w:space="0"/>
              <w:bottom w:val="single" w:color="auto" w:sz="4" w:space="0"/>
              <w:right w:val="single" w:color="auto" w:sz="4" w:space="0"/>
            </w:tcBorders>
            <w:vAlign w:val="center"/>
          </w:tcPr>
          <w:p w14:paraId="7205E98F">
            <w:pPr>
              <w:rPr>
                <w:rFonts w:hint="eastAsia" w:ascii="宋体" w:hAnsi="宋体" w:eastAsia="宋体"/>
                <w:bCs/>
                <w:szCs w:val="21"/>
                <w:highlight w:val="none"/>
              </w:rPr>
            </w:pPr>
            <w:r>
              <w:rPr>
                <w:rFonts w:hint="eastAsia" w:ascii="宋体" w:hAnsi="宋体" w:eastAsia="宋体"/>
                <w:bCs/>
                <w:szCs w:val="21"/>
                <w:highlight w:val="none"/>
              </w:rPr>
              <w:t>配件进场后，未按规范委托第三方检测机构进行检测，扣10分；</w:t>
            </w:r>
          </w:p>
          <w:p w14:paraId="02682220">
            <w:pPr>
              <w:rPr>
                <w:rFonts w:hint="eastAsia" w:ascii="宋体" w:hAnsi="宋体" w:eastAsia="宋体"/>
                <w:bCs/>
                <w:szCs w:val="21"/>
                <w:highlight w:val="none"/>
              </w:rPr>
            </w:pPr>
            <w:r>
              <w:rPr>
                <w:rFonts w:hint="eastAsia" w:ascii="宋体" w:hAnsi="宋体" w:eastAsia="宋体"/>
                <w:bCs/>
                <w:szCs w:val="21"/>
                <w:highlight w:val="none"/>
              </w:rPr>
              <w:t>杆件和构配件未配套使用，不满足组架方式及构造要求，扣10分；</w:t>
            </w:r>
          </w:p>
        </w:tc>
        <w:tc>
          <w:tcPr>
            <w:tcW w:w="1023" w:type="dxa"/>
            <w:tcBorders>
              <w:top w:val="single" w:color="auto" w:sz="4" w:space="0"/>
              <w:left w:val="single" w:color="auto" w:sz="4" w:space="0"/>
              <w:bottom w:val="single" w:color="auto" w:sz="4" w:space="0"/>
              <w:right w:val="single" w:color="auto" w:sz="4" w:space="0"/>
            </w:tcBorders>
            <w:vAlign w:val="center"/>
          </w:tcPr>
          <w:p w14:paraId="7503E908">
            <w:pPr>
              <w:rPr>
                <w:rFonts w:hint="eastAsia" w:ascii="宋体" w:hAnsi="宋体" w:eastAsia="宋体"/>
                <w:bCs/>
                <w:szCs w:val="21"/>
                <w:highlight w:val="none"/>
              </w:rPr>
            </w:pPr>
            <w:r>
              <w:rPr>
                <w:rFonts w:hint="eastAsia" w:ascii="宋体" w:hAnsi="宋体" w:eastAsia="宋体"/>
                <w:bCs/>
                <w:szCs w:val="21"/>
                <w:highlight w:val="none"/>
              </w:rPr>
              <w:t>10</w:t>
            </w:r>
          </w:p>
        </w:tc>
        <w:tc>
          <w:tcPr>
            <w:tcW w:w="854" w:type="dxa"/>
            <w:tcBorders>
              <w:top w:val="single" w:color="auto" w:sz="4" w:space="0"/>
              <w:left w:val="single" w:color="auto" w:sz="4" w:space="0"/>
              <w:bottom w:val="single" w:color="auto" w:sz="4" w:space="0"/>
              <w:right w:val="single" w:color="auto" w:sz="4" w:space="0"/>
            </w:tcBorders>
            <w:vAlign w:val="center"/>
          </w:tcPr>
          <w:p w14:paraId="453696D0">
            <w:pPr>
              <w:rPr>
                <w:rFonts w:hint="eastAsia" w:ascii="宋体" w:hAnsi="宋体" w:eastAsia="宋体"/>
                <w:bCs/>
                <w:szCs w:val="21"/>
                <w:highlight w:val="none"/>
              </w:rPr>
            </w:pPr>
          </w:p>
        </w:tc>
      </w:tr>
      <w:tr w14:paraId="21056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tcBorders>
              <w:top w:val="single" w:color="auto" w:sz="4" w:space="0"/>
              <w:left w:val="single" w:color="auto" w:sz="4" w:space="0"/>
              <w:bottom w:val="single" w:color="auto" w:sz="4" w:space="0"/>
              <w:right w:val="single" w:color="auto" w:sz="4" w:space="0"/>
            </w:tcBorders>
            <w:vAlign w:val="center"/>
          </w:tcPr>
          <w:p w14:paraId="3BBB381A">
            <w:pPr>
              <w:rPr>
                <w:rFonts w:hint="eastAsia" w:ascii="宋体" w:hAnsi="宋体" w:eastAsia="宋体"/>
                <w:bCs/>
                <w:szCs w:val="21"/>
                <w:highlight w:val="none"/>
              </w:rPr>
            </w:pPr>
            <w:r>
              <w:rPr>
                <w:rFonts w:hint="eastAsia" w:ascii="宋体" w:hAnsi="宋体" w:eastAsia="宋体"/>
                <w:bCs/>
                <w:szCs w:val="21"/>
                <w:highlight w:val="none"/>
              </w:rPr>
              <w:t>9</w:t>
            </w:r>
          </w:p>
        </w:tc>
        <w:tc>
          <w:tcPr>
            <w:tcW w:w="1059" w:type="dxa"/>
            <w:tcBorders>
              <w:top w:val="single" w:color="auto" w:sz="4" w:space="0"/>
              <w:left w:val="single" w:color="auto" w:sz="4" w:space="0"/>
              <w:bottom w:val="single" w:color="auto" w:sz="4" w:space="0"/>
              <w:right w:val="single" w:color="auto" w:sz="4" w:space="0"/>
            </w:tcBorders>
            <w:vAlign w:val="center"/>
          </w:tcPr>
          <w:p w14:paraId="467E79D8">
            <w:pPr>
              <w:rPr>
                <w:rFonts w:hint="eastAsia" w:ascii="宋体" w:hAnsi="宋体" w:eastAsia="宋体"/>
                <w:bCs/>
                <w:szCs w:val="21"/>
                <w:highlight w:val="none"/>
              </w:rPr>
            </w:pPr>
            <w:r>
              <w:rPr>
                <w:rFonts w:hint="eastAsia" w:ascii="宋体" w:hAnsi="宋体" w:eastAsia="宋体"/>
                <w:bCs/>
                <w:szCs w:val="21"/>
                <w:highlight w:val="none"/>
              </w:rPr>
              <w:t>通道</w:t>
            </w:r>
          </w:p>
        </w:tc>
        <w:tc>
          <w:tcPr>
            <w:tcW w:w="4995" w:type="dxa"/>
            <w:tcBorders>
              <w:top w:val="single" w:color="auto" w:sz="4" w:space="0"/>
              <w:left w:val="single" w:color="auto" w:sz="4" w:space="0"/>
              <w:bottom w:val="single" w:color="auto" w:sz="4" w:space="0"/>
              <w:right w:val="single" w:color="auto" w:sz="4" w:space="0"/>
            </w:tcBorders>
            <w:vAlign w:val="center"/>
          </w:tcPr>
          <w:p w14:paraId="31021A32">
            <w:pPr>
              <w:rPr>
                <w:rFonts w:hint="eastAsia" w:ascii="宋体" w:hAnsi="宋体" w:eastAsia="宋体"/>
                <w:bCs/>
                <w:szCs w:val="21"/>
                <w:highlight w:val="none"/>
              </w:rPr>
            </w:pPr>
            <w:r>
              <w:rPr>
                <w:rFonts w:hint="eastAsia" w:ascii="宋体" w:hAnsi="宋体" w:eastAsia="宋体"/>
                <w:bCs/>
                <w:szCs w:val="21"/>
                <w:highlight w:val="none"/>
              </w:rPr>
              <w:t>未设置人员上下专用通道，扣10分；</w:t>
            </w:r>
          </w:p>
          <w:p w14:paraId="55FECDED">
            <w:pPr>
              <w:rPr>
                <w:rFonts w:hint="eastAsia" w:ascii="宋体" w:hAnsi="宋体" w:eastAsia="宋体"/>
                <w:bCs/>
                <w:szCs w:val="21"/>
                <w:highlight w:val="none"/>
              </w:rPr>
            </w:pPr>
            <w:r>
              <w:rPr>
                <w:rFonts w:hint="eastAsia" w:ascii="宋体" w:hAnsi="宋体" w:eastAsia="宋体"/>
                <w:bCs/>
                <w:szCs w:val="21"/>
                <w:highlight w:val="none"/>
              </w:rPr>
              <w:t>通道设置不符合要求，扣10分。</w:t>
            </w:r>
          </w:p>
        </w:tc>
        <w:tc>
          <w:tcPr>
            <w:tcW w:w="1023" w:type="dxa"/>
            <w:tcBorders>
              <w:top w:val="single" w:color="auto" w:sz="4" w:space="0"/>
              <w:left w:val="single" w:color="auto" w:sz="4" w:space="0"/>
              <w:bottom w:val="single" w:color="auto" w:sz="4" w:space="0"/>
              <w:right w:val="single" w:color="auto" w:sz="4" w:space="0"/>
            </w:tcBorders>
            <w:vAlign w:val="center"/>
          </w:tcPr>
          <w:p w14:paraId="24851A4D">
            <w:pPr>
              <w:rPr>
                <w:rFonts w:hint="eastAsia" w:ascii="宋体" w:hAnsi="宋体" w:eastAsia="宋体"/>
                <w:bCs/>
                <w:szCs w:val="21"/>
                <w:highlight w:val="none"/>
              </w:rPr>
            </w:pPr>
            <w:r>
              <w:rPr>
                <w:rFonts w:hint="eastAsia" w:ascii="宋体" w:hAnsi="宋体" w:eastAsia="宋体"/>
                <w:bCs/>
                <w:szCs w:val="21"/>
                <w:highlight w:val="none"/>
              </w:rPr>
              <w:t>10</w:t>
            </w:r>
          </w:p>
        </w:tc>
        <w:tc>
          <w:tcPr>
            <w:tcW w:w="854" w:type="dxa"/>
            <w:tcBorders>
              <w:top w:val="single" w:color="auto" w:sz="4" w:space="0"/>
              <w:left w:val="single" w:color="auto" w:sz="4" w:space="0"/>
              <w:bottom w:val="single" w:color="auto" w:sz="4" w:space="0"/>
              <w:right w:val="single" w:color="auto" w:sz="4" w:space="0"/>
            </w:tcBorders>
            <w:vAlign w:val="center"/>
          </w:tcPr>
          <w:p w14:paraId="267FF88C">
            <w:pPr>
              <w:rPr>
                <w:rFonts w:hint="eastAsia" w:ascii="宋体" w:hAnsi="宋体" w:eastAsia="宋体"/>
                <w:bCs/>
                <w:szCs w:val="21"/>
                <w:highlight w:val="none"/>
              </w:rPr>
            </w:pPr>
          </w:p>
        </w:tc>
      </w:tr>
      <w:tr w14:paraId="2B28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72" w:type="dxa"/>
            <w:gridSpan w:val="2"/>
            <w:tcBorders>
              <w:top w:val="single" w:color="auto" w:sz="4" w:space="0"/>
              <w:left w:val="single" w:color="auto" w:sz="4" w:space="0"/>
              <w:bottom w:val="single" w:color="auto" w:sz="4" w:space="0"/>
              <w:right w:val="single" w:color="auto" w:sz="4" w:space="0"/>
            </w:tcBorders>
            <w:vAlign w:val="center"/>
          </w:tcPr>
          <w:p w14:paraId="0DEEBFCA">
            <w:pPr>
              <w:rPr>
                <w:rFonts w:hint="eastAsia" w:ascii="宋体" w:hAnsi="宋体" w:eastAsia="宋体"/>
                <w:bCs/>
                <w:szCs w:val="21"/>
              </w:rPr>
            </w:pPr>
            <w:r>
              <w:rPr>
                <w:rFonts w:hint="eastAsia" w:ascii="宋体" w:hAnsi="宋体" w:eastAsia="宋体"/>
                <w:bCs/>
                <w:szCs w:val="21"/>
              </w:rPr>
              <w:t>评价项目合计</w:t>
            </w:r>
          </w:p>
        </w:tc>
        <w:tc>
          <w:tcPr>
            <w:tcW w:w="4995" w:type="dxa"/>
            <w:tcBorders>
              <w:top w:val="single" w:color="auto" w:sz="4" w:space="0"/>
              <w:left w:val="single" w:color="auto" w:sz="4" w:space="0"/>
              <w:bottom w:val="single" w:color="auto" w:sz="4" w:space="0"/>
              <w:right w:val="single" w:color="auto" w:sz="4" w:space="0"/>
            </w:tcBorders>
            <w:vAlign w:val="center"/>
          </w:tcPr>
          <w:p w14:paraId="7DC982BC">
            <w:pPr>
              <w:rPr>
                <w:rFonts w:hint="eastAsia" w:ascii="宋体" w:hAnsi="宋体" w:eastAsia="宋体"/>
                <w:bCs/>
                <w:szCs w:val="21"/>
              </w:rPr>
            </w:pPr>
          </w:p>
        </w:tc>
        <w:tc>
          <w:tcPr>
            <w:tcW w:w="1023" w:type="dxa"/>
            <w:tcBorders>
              <w:top w:val="single" w:color="auto" w:sz="4" w:space="0"/>
              <w:left w:val="single" w:color="auto" w:sz="4" w:space="0"/>
              <w:bottom w:val="single" w:color="auto" w:sz="4" w:space="0"/>
              <w:right w:val="single" w:color="auto" w:sz="4" w:space="0"/>
            </w:tcBorders>
            <w:vAlign w:val="center"/>
          </w:tcPr>
          <w:p w14:paraId="16404381">
            <w:pPr>
              <w:rPr>
                <w:rFonts w:hint="eastAsia" w:ascii="宋体" w:hAnsi="宋体" w:eastAsia="宋体"/>
                <w:bCs/>
                <w:szCs w:val="21"/>
              </w:rPr>
            </w:pPr>
            <w:r>
              <w:rPr>
                <w:rFonts w:hint="eastAsia" w:ascii="宋体" w:hAnsi="宋体" w:eastAsia="宋体"/>
                <w:bCs/>
                <w:szCs w:val="21"/>
              </w:rPr>
              <w:t>100</w:t>
            </w:r>
          </w:p>
        </w:tc>
        <w:tc>
          <w:tcPr>
            <w:tcW w:w="854" w:type="dxa"/>
            <w:tcBorders>
              <w:top w:val="single" w:color="auto" w:sz="4" w:space="0"/>
              <w:left w:val="single" w:color="auto" w:sz="4" w:space="0"/>
              <w:bottom w:val="single" w:color="auto" w:sz="4" w:space="0"/>
              <w:right w:val="single" w:color="auto" w:sz="4" w:space="0"/>
            </w:tcBorders>
            <w:vAlign w:val="center"/>
          </w:tcPr>
          <w:p w14:paraId="26D33F8F">
            <w:pPr>
              <w:rPr>
                <w:rFonts w:hint="eastAsia" w:ascii="宋体" w:hAnsi="宋体" w:eastAsia="宋体"/>
                <w:bCs/>
                <w:szCs w:val="21"/>
              </w:rPr>
            </w:pPr>
          </w:p>
        </w:tc>
      </w:tr>
    </w:tbl>
    <w:p w14:paraId="5306679A">
      <w:pPr>
        <w:rPr>
          <w:rFonts w:hint="eastAsia"/>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0619FE"/>
    <w:rsid w:val="00234CA4"/>
    <w:rsid w:val="002B3986"/>
    <w:rsid w:val="00407F9E"/>
    <w:rsid w:val="00457169"/>
    <w:rsid w:val="00790020"/>
    <w:rsid w:val="00AC7E4B"/>
    <w:rsid w:val="00AF2F1D"/>
    <w:rsid w:val="00C04055"/>
    <w:rsid w:val="00C81323"/>
    <w:rsid w:val="01781EED"/>
    <w:rsid w:val="17E935AE"/>
    <w:rsid w:val="1C6144CF"/>
    <w:rsid w:val="218C362C"/>
    <w:rsid w:val="29DB2BB8"/>
    <w:rsid w:val="2EEC6363"/>
    <w:rsid w:val="3FDE2625"/>
    <w:rsid w:val="40805B92"/>
    <w:rsid w:val="43227877"/>
    <w:rsid w:val="584D689F"/>
    <w:rsid w:val="5D11455E"/>
    <w:rsid w:val="615E2061"/>
    <w:rsid w:val="63757C18"/>
    <w:rsid w:val="647C4B97"/>
    <w:rsid w:val="67F05CEC"/>
    <w:rsid w:val="6DB16AC8"/>
    <w:rsid w:val="78463B46"/>
    <w:rsid w:val="7D946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1209</Words>
  <Characters>1270</Characters>
  <Lines>97</Lines>
  <Paragraphs>95</Paragraphs>
  <TotalTime>3</TotalTime>
  <ScaleCrop>false</ScaleCrop>
  <LinksUpToDate>false</LinksUpToDate>
  <CharactersWithSpaces>1272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2025-05-02T03:06:00Z</dcterms:created>
  <dc:creator>航 吴</dc:creator>
  <cp:lastModifiedBy>吴航</cp:lastModifiedBy>
  <dcterms:modified xsi:type="dcterms:W3CDTF">2025-06-03T01:19:03Z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eyJoZGlkIjoiMWQ3OTk5ODcyNTVmNmM0NTdmMWJlNzA5Y2U0ZmJlYWIiLCJ1c2VySWQiOiI1Njc5NDE1ODIifQ==</vt:lpwstr>
  </property>
  <property fmtid="{D5CDD505-2E9C-101B-9397-08002B2CF9AE}" pid="3" name="KSOProductBuildVer">
    <vt:lpwstr>2052-12.1.0.20784</vt:lpwstr>
  </property>
  <property fmtid="{D5CDD505-2E9C-101B-9397-08002B2CF9AE}" pid="4" name="ICV">
    <vt:lpwstr>BB9AD4846A424C63BDDF2620DBDFF18D_12</vt:lpwstr>
  </property>
</Properties>
</file>