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453A" w14:textId="50B1F40F" w:rsidR="00C112B0" w:rsidRDefault="00C22E17">
      <w:pPr>
        <w:jc w:val="center"/>
        <w:rPr>
          <w:rFonts w:hint="eastAsia"/>
        </w:rPr>
      </w:pPr>
      <w:bookmarkStart w:id="0" w:name="_Toc7244"/>
      <w:bookmarkStart w:id="1" w:name="_Toc1772"/>
      <w:bookmarkStart w:id="2" w:name="_Toc6639"/>
      <w:r w:rsidRPr="00C22E17">
        <w:rPr>
          <w:rFonts w:ascii="宋体" w:eastAsia="宋体" w:hAnsi="宋体" w:cs="宋体" w:hint="eastAsia"/>
          <w:b/>
          <w:bCs/>
          <w:sz w:val="28"/>
          <w:szCs w:val="28"/>
        </w:rPr>
        <w:t>市政</w:t>
      </w:r>
      <w:r w:rsidR="00000000">
        <w:rPr>
          <w:rFonts w:ascii="宋体" w:eastAsia="宋体" w:hAnsi="宋体" w:cs="宋体" w:hint="eastAsia"/>
          <w:b/>
          <w:bCs/>
          <w:sz w:val="28"/>
          <w:szCs w:val="28"/>
        </w:rPr>
        <w:t>表B6  沉井评价评分表</w:t>
      </w:r>
      <w:bookmarkEnd w:id="0"/>
      <w:bookmarkEnd w:id="1"/>
      <w:bookmarkEnd w:id="2"/>
    </w:p>
    <w:tbl>
      <w:tblPr>
        <w:tblW w:w="90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75"/>
        <w:gridCol w:w="5529"/>
        <w:gridCol w:w="975"/>
        <w:gridCol w:w="1008"/>
      </w:tblGrid>
      <w:tr w:rsidR="00C112B0" w14:paraId="38B317F9" w14:textId="77777777">
        <w:trPr>
          <w:trHeight w:val="231"/>
          <w:jc w:val="center"/>
        </w:trPr>
        <w:tc>
          <w:tcPr>
            <w:tcW w:w="581" w:type="dxa"/>
            <w:vAlign w:val="center"/>
          </w:tcPr>
          <w:p w14:paraId="2CECD8B7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975" w:type="dxa"/>
            <w:vAlign w:val="center"/>
          </w:tcPr>
          <w:p w14:paraId="7532A2B1" w14:textId="77777777" w:rsidR="00C112B0" w:rsidRDefault="00000000">
            <w:pPr>
              <w:pStyle w:val="TableText"/>
              <w:tabs>
                <w:tab w:val="left" w:pos="840"/>
              </w:tabs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评价指标</w:t>
            </w:r>
          </w:p>
        </w:tc>
        <w:tc>
          <w:tcPr>
            <w:tcW w:w="5529" w:type="dxa"/>
            <w:vAlign w:val="center"/>
          </w:tcPr>
          <w:p w14:paraId="53FBE3F7" w14:textId="77777777" w:rsidR="00C112B0" w:rsidRDefault="00000000">
            <w:pPr>
              <w:pStyle w:val="TableText"/>
              <w:spacing w:line="22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pacing w:val="-6"/>
                <w:sz w:val="21"/>
                <w:szCs w:val="21"/>
              </w:rPr>
              <w:t>标准</w:t>
            </w:r>
            <w:proofErr w:type="spellEnd"/>
            <w:r>
              <w:rPr>
                <w:rFonts w:hint="eastAsia"/>
                <w:spacing w:val="-6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1983" w:type="dxa"/>
            <w:gridSpan w:val="2"/>
            <w:vAlign w:val="center"/>
          </w:tcPr>
          <w:p w14:paraId="43D0D956" w14:textId="77777777" w:rsidR="00C112B0" w:rsidRDefault="0000000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评价结果</w:t>
            </w:r>
          </w:p>
        </w:tc>
      </w:tr>
      <w:tr w:rsidR="00C112B0" w14:paraId="606E69F4" w14:textId="77777777">
        <w:trPr>
          <w:trHeight w:val="444"/>
          <w:jc w:val="center"/>
        </w:trPr>
        <w:tc>
          <w:tcPr>
            <w:tcW w:w="581" w:type="dxa"/>
            <w:vMerge w:val="restart"/>
            <w:vAlign w:val="center"/>
          </w:tcPr>
          <w:p w14:paraId="31830637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75" w:type="dxa"/>
            <w:vMerge w:val="restart"/>
            <w:vAlign w:val="center"/>
          </w:tcPr>
          <w:p w14:paraId="77DC7D37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控制项</w:t>
            </w:r>
          </w:p>
        </w:tc>
        <w:tc>
          <w:tcPr>
            <w:tcW w:w="5529" w:type="dxa"/>
            <w:vAlign w:val="center"/>
          </w:tcPr>
          <w:p w14:paraId="631BDEB8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危险性较大分部分项工程按规定编制专项施工方案</w:t>
            </w:r>
          </w:p>
          <w:p w14:paraId="4AF574C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超过一定规模的危大工程方案组织专家论证</w:t>
            </w:r>
          </w:p>
        </w:tc>
        <w:tc>
          <w:tcPr>
            <w:tcW w:w="1983" w:type="dxa"/>
            <w:gridSpan w:val="2"/>
            <w:vAlign w:val="center"/>
          </w:tcPr>
          <w:p w14:paraId="2B8CAF9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br/>
            </w: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C112B0" w14:paraId="358D1D3E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2558842F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975" w:type="dxa"/>
            <w:vMerge/>
            <w:vAlign w:val="center"/>
          </w:tcPr>
          <w:p w14:paraId="70DE54E4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5529" w:type="dxa"/>
            <w:vAlign w:val="center"/>
          </w:tcPr>
          <w:p w14:paraId="057DF1A1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沉井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的嵌固深度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或封底混凝土厚度不符合专项施工方案的规定</w:t>
            </w:r>
          </w:p>
        </w:tc>
        <w:tc>
          <w:tcPr>
            <w:tcW w:w="1983" w:type="dxa"/>
            <w:gridSpan w:val="2"/>
            <w:vAlign w:val="center"/>
          </w:tcPr>
          <w:p w14:paraId="78A7DF15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</w:rPr>
              <w:t>□</w:t>
            </w:r>
          </w:p>
        </w:tc>
      </w:tr>
      <w:tr w:rsidR="00C112B0" w14:paraId="60F9C171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6BB1380A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1258136D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529" w:type="dxa"/>
            <w:vAlign w:val="center"/>
          </w:tcPr>
          <w:p w14:paraId="37C12B04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按规定配备专职安全员；项目负责人、专职安全员应取得有效安全生产考核合格证</w:t>
            </w:r>
          </w:p>
        </w:tc>
        <w:tc>
          <w:tcPr>
            <w:tcW w:w="1983" w:type="dxa"/>
            <w:gridSpan w:val="2"/>
            <w:vAlign w:val="center"/>
          </w:tcPr>
          <w:p w14:paraId="6DD32016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C112B0" w14:paraId="43BEDF92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63BD23AA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3D64C8A1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529" w:type="dxa"/>
            <w:vAlign w:val="center"/>
          </w:tcPr>
          <w:p w14:paraId="3E211962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特种作业人员应取得有效特种作业人员操作资格证书</w:t>
            </w:r>
          </w:p>
        </w:tc>
        <w:tc>
          <w:tcPr>
            <w:tcW w:w="1983" w:type="dxa"/>
            <w:gridSpan w:val="2"/>
            <w:vAlign w:val="center"/>
          </w:tcPr>
          <w:p w14:paraId="2058A220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C112B0" w14:paraId="73397015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0BCFA29E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67BEC91C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529" w:type="dxa"/>
            <w:vAlign w:val="center"/>
          </w:tcPr>
          <w:p w14:paraId="39CE760C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专项施工方案实施前，进行安全技术交底；</w:t>
            </w:r>
          </w:p>
        </w:tc>
        <w:tc>
          <w:tcPr>
            <w:tcW w:w="1983" w:type="dxa"/>
            <w:gridSpan w:val="2"/>
            <w:vAlign w:val="center"/>
          </w:tcPr>
          <w:p w14:paraId="62A724A1" w14:textId="77777777" w:rsidR="00C112B0" w:rsidRDefault="00000000">
            <w:pPr>
              <w:jc w:val="left"/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符合□不符合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□</w:t>
            </w:r>
          </w:p>
        </w:tc>
      </w:tr>
      <w:tr w:rsidR="00C112B0" w14:paraId="0C9782B2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081562E7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7EFDFBEB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529" w:type="dxa"/>
            <w:vAlign w:val="center"/>
          </w:tcPr>
          <w:p w14:paraId="1A263A03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筑岛的尺寸满足沉井制作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及抽垫等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施工的要求</w:t>
            </w:r>
          </w:p>
        </w:tc>
        <w:tc>
          <w:tcPr>
            <w:tcW w:w="1983" w:type="dxa"/>
            <w:gridSpan w:val="2"/>
            <w:vAlign w:val="center"/>
          </w:tcPr>
          <w:p w14:paraId="36C54C27" w14:textId="77777777" w:rsidR="00C112B0" w:rsidRDefault="00000000">
            <w:pPr>
              <w:jc w:val="left"/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符合□不符合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□</w:t>
            </w:r>
          </w:p>
        </w:tc>
      </w:tr>
      <w:tr w:rsidR="00C112B0" w14:paraId="420197A1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64BCC3B1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78A4ED2D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529" w:type="dxa"/>
            <w:vAlign w:val="center"/>
          </w:tcPr>
          <w:p w14:paraId="1351D88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下沉时对周围影响建（构）筑物、管线采取保护措施的</w:t>
            </w:r>
          </w:p>
        </w:tc>
        <w:tc>
          <w:tcPr>
            <w:tcW w:w="1983" w:type="dxa"/>
            <w:gridSpan w:val="2"/>
            <w:vAlign w:val="center"/>
          </w:tcPr>
          <w:p w14:paraId="20B37CB7" w14:textId="77777777" w:rsidR="00C112B0" w:rsidRDefault="00000000">
            <w:pPr>
              <w:jc w:val="left"/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符合□不符合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□</w:t>
            </w:r>
          </w:p>
        </w:tc>
      </w:tr>
      <w:tr w:rsidR="00C112B0" w14:paraId="614C5558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5549CBC6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279EB38A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529" w:type="dxa"/>
            <w:vAlign w:val="center"/>
          </w:tcPr>
          <w:p w14:paraId="4C8D6E71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钢围堰内外按规定设置上下通道</w:t>
            </w:r>
          </w:p>
        </w:tc>
        <w:tc>
          <w:tcPr>
            <w:tcW w:w="1983" w:type="dxa"/>
            <w:gridSpan w:val="2"/>
            <w:vAlign w:val="center"/>
          </w:tcPr>
          <w:p w14:paraId="634B0A84" w14:textId="77777777" w:rsidR="00C112B0" w:rsidRDefault="00000000">
            <w:pPr>
              <w:jc w:val="left"/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符合□不符合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□</w:t>
            </w:r>
          </w:p>
        </w:tc>
      </w:tr>
      <w:tr w:rsidR="00C112B0" w14:paraId="65DE1278" w14:textId="77777777">
        <w:trPr>
          <w:trHeight w:val="253"/>
          <w:jc w:val="center"/>
        </w:trPr>
        <w:tc>
          <w:tcPr>
            <w:tcW w:w="581" w:type="dxa"/>
            <w:vMerge/>
            <w:vAlign w:val="center"/>
          </w:tcPr>
          <w:p w14:paraId="7FCF538E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7A662F07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529" w:type="dxa"/>
            <w:vAlign w:val="center"/>
          </w:tcPr>
          <w:p w14:paraId="1E8B2B2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通航水域沉井的临边栏杆设置反光设施，或边角处设置红色警示灯</w:t>
            </w:r>
          </w:p>
        </w:tc>
        <w:tc>
          <w:tcPr>
            <w:tcW w:w="1983" w:type="dxa"/>
            <w:gridSpan w:val="2"/>
            <w:vAlign w:val="center"/>
          </w:tcPr>
          <w:p w14:paraId="55B177AD" w14:textId="77777777" w:rsidR="00C112B0" w:rsidRDefault="00000000">
            <w:pPr>
              <w:jc w:val="left"/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符合□不符合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szCs w:val="21"/>
                <w:lang w:eastAsia="en-US"/>
              </w:rPr>
              <w:t>□</w:t>
            </w:r>
          </w:p>
        </w:tc>
      </w:tr>
      <w:tr w:rsidR="00C112B0" w14:paraId="1B18E145" w14:textId="77777777">
        <w:trPr>
          <w:trHeight w:val="233"/>
          <w:jc w:val="center"/>
        </w:trPr>
        <w:tc>
          <w:tcPr>
            <w:tcW w:w="581" w:type="dxa"/>
            <w:vMerge/>
            <w:vAlign w:val="center"/>
          </w:tcPr>
          <w:p w14:paraId="574D7821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3FF95864" w14:textId="77777777" w:rsidR="00C112B0" w:rsidRDefault="00C112B0">
            <w:pPr>
              <w:pStyle w:val="TableText"/>
              <w:spacing w:before="42" w:line="201" w:lineRule="auto"/>
              <w:ind w:left="109" w:right="22" w:hanging="9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5529" w:type="dxa"/>
            <w:vAlign w:val="center"/>
          </w:tcPr>
          <w:p w14:paraId="38778F7B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按照方案施工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14:paraId="3A96078B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符合□不符合</w:t>
            </w:r>
            <w:proofErr w:type="spellEnd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□</w:t>
            </w:r>
          </w:p>
        </w:tc>
      </w:tr>
      <w:tr w:rsidR="00C112B0" w14:paraId="36DE2677" w14:textId="77777777">
        <w:trPr>
          <w:trHeight w:val="217"/>
          <w:jc w:val="center"/>
        </w:trPr>
        <w:tc>
          <w:tcPr>
            <w:tcW w:w="581" w:type="dxa"/>
            <w:vMerge w:val="restart"/>
            <w:vAlign w:val="center"/>
          </w:tcPr>
          <w:p w14:paraId="5F16340B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975" w:type="dxa"/>
            <w:vMerge w:val="restart"/>
            <w:vAlign w:val="center"/>
          </w:tcPr>
          <w:p w14:paraId="7B3FD68D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评分项目</w:t>
            </w:r>
          </w:p>
        </w:tc>
        <w:tc>
          <w:tcPr>
            <w:tcW w:w="5529" w:type="dxa"/>
            <w:vMerge w:val="restart"/>
            <w:vAlign w:val="center"/>
          </w:tcPr>
          <w:p w14:paraId="6423B20C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扣分标准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14:paraId="3C3C7412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评价得分</w:t>
            </w:r>
            <w:proofErr w:type="spellEnd"/>
          </w:p>
        </w:tc>
      </w:tr>
      <w:tr w:rsidR="00C112B0" w14:paraId="0893FAB4" w14:textId="77777777">
        <w:trPr>
          <w:trHeight w:val="90"/>
          <w:jc w:val="center"/>
        </w:trPr>
        <w:tc>
          <w:tcPr>
            <w:tcW w:w="581" w:type="dxa"/>
            <w:vMerge/>
            <w:vAlign w:val="center"/>
          </w:tcPr>
          <w:p w14:paraId="6EB4DA70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975" w:type="dxa"/>
            <w:vMerge/>
            <w:vAlign w:val="center"/>
          </w:tcPr>
          <w:p w14:paraId="2CBDEE22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5529" w:type="dxa"/>
            <w:vMerge/>
            <w:vAlign w:val="center"/>
          </w:tcPr>
          <w:p w14:paraId="36A1F023" w14:textId="77777777" w:rsidR="00C112B0" w:rsidRDefault="00C112B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</w:p>
        </w:tc>
        <w:tc>
          <w:tcPr>
            <w:tcW w:w="975" w:type="dxa"/>
            <w:vAlign w:val="center"/>
          </w:tcPr>
          <w:p w14:paraId="6445BDA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应得分</w:t>
            </w:r>
            <w:proofErr w:type="spellEnd"/>
          </w:p>
        </w:tc>
        <w:tc>
          <w:tcPr>
            <w:tcW w:w="1008" w:type="dxa"/>
            <w:vAlign w:val="center"/>
          </w:tcPr>
          <w:p w14:paraId="69BB8A15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实得分</w:t>
            </w:r>
            <w:proofErr w:type="spellEnd"/>
          </w:p>
        </w:tc>
      </w:tr>
      <w:tr w:rsidR="00C112B0" w14:paraId="212D7262" w14:textId="77777777">
        <w:trPr>
          <w:trHeight w:val="1210"/>
          <w:jc w:val="center"/>
        </w:trPr>
        <w:tc>
          <w:tcPr>
            <w:tcW w:w="581" w:type="dxa"/>
            <w:vAlign w:val="center"/>
          </w:tcPr>
          <w:p w14:paraId="4D81C782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75" w:type="dxa"/>
            <w:vAlign w:val="center"/>
          </w:tcPr>
          <w:p w14:paraId="34E2860A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方案与交底</w:t>
            </w:r>
            <w:proofErr w:type="spellEnd"/>
          </w:p>
        </w:tc>
        <w:tc>
          <w:tcPr>
            <w:tcW w:w="5529" w:type="dxa"/>
            <w:vAlign w:val="center"/>
          </w:tcPr>
          <w:p w14:paraId="14CF532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未按规定编制专项施工方案或未进行设计计算，扣5-10分</w:t>
            </w:r>
          </w:p>
          <w:p w14:paraId="3003BF44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方案编制内容不全或无针对性，扣2-10分</w:t>
            </w:r>
          </w:p>
          <w:p w14:paraId="5EBD7691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专项施工方案未按规定进行审核、审批，扣5-10分</w:t>
            </w:r>
          </w:p>
          <w:p w14:paraId="2539CA9A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交底无针对性或无文字记录，扣2-5分</w:t>
            </w:r>
          </w:p>
        </w:tc>
        <w:tc>
          <w:tcPr>
            <w:tcW w:w="975" w:type="dxa"/>
            <w:vAlign w:val="center"/>
          </w:tcPr>
          <w:p w14:paraId="3822C022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1B3BE9EE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3FAF4280" w14:textId="77777777">
        <w:trPr>
          <w:trHeight w:val="1062"/>
          <w:jc w:val="center"/>
        </w:trPr>
        <w:tc>
          <w:tcPr>
            <w:tcW w:w="581" w:type="dxa"/>
            <w:vAlign w:val="center"/>
          </w:tcPr>
          <w:p w14:paraId="23A3E2FB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75" w:type="dxa"/>
            <w:vAlign w:val="center"/>
          </w:tcPr>
          <w:p w14:paraId="184DAB12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沉井构造</w:t>
            </w:r>
            <w:proofErr w:type="spellEnd"/>
          </w:p>
        </w:tc>
        <w:tc>
          <w:tcPr>
            <w:tcW w:w="5529" w:type="dxa"/>
            <w:vAlign w:val="center"/>
          </w:tcPr>
          <w:p w14:paraId="5E339786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设置内支撑结构的沉井，其支撑间距、层数和构造不符合专项施工方案的规定，扣5-10分</w:t>
            </w:r>
          </w:p>
        </w:tc>
        <w:tc>
          <w:tcPr>
            <w:tcW w:w="975" w:type="dxa"/>
            <w:vAlign w:val="center"/>
          </w:tcPr>
          <w:p w14:paraId="6FCBA133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13947644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6E471461" w14:textId="77777777">
        <w:trPr>
          <w:trHeight w:val="2756"/>
          <w:jc w:val="center"/>
        </w:trPr>
        <w:tc>
          <w:tcPr>
            <w:tcW w:w="581" w:type="dxa"/>
            <w:vAlign w:val="center"/>
          </w:tcPr>
          <w:p w14:paraId="4681E1BE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975" w:type="dxa"/>
            <w:vAlign w:val="center"/>
          </w:tcPr>
          <w:p w14:paraId="723813D1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筑岛</w:t>
            </w:r>
            <w:proofErr w:type="spellEnd"/>
          </w:p>
        </w:tc>
        <w:tc>
          <w:tcPr>
            <w:tcW w:w="5529" w:type="dxa"/>
            <w:vAlign w:val="center"/>
          </w:tcPr>
          <w:p w14:paraId="4B1F9F90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未在沉井周围设置护道，扣5-10分；护道宽度不满足要求，扣5分</w:t>
            </w:r>
          </w:p>
          <w:p w14:paraId="16071D29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岛面、平台面和坑底高程未高出施工期可能的最高水位0.7m以上，扣5-10分</w:t>
            </w:r>
          </w:p>
          <w:p w14:paraId="4A56CA4E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筑岛选用的材料不满足设计要求等，或含有影响岛体受力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及抽垫下沉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的块体，扣5-10分</w:t>
            </w:r>
          </w:p>
          <w:p w14:paraId="790B2F7F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在淤泥等软土上筑岛时，未采取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换填或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采取其他加固措施，扣5-10分</w:t>
            </w:r>
          </w:p>
        </w:tc>
        <w:tc>
          <w:tcPr>
            <w:tcW w:w="975" w:type="dxa"/>
            <w:vAlign w:val="center"/>
          </w:tcPr>
          <w:p w14:paraId="23196BEF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1B6221AC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636FC2F4" w14:textId="77777777">
        <w:trPr>
          <w:trHeight w:val="1331"/>
          <w:jc w:val="center"/>
        </w:trPr>
        <w:tc>
          <w:tcPr>
            <w:tcW w:w="581" w:type="dxa"/>
            <w:vAlign w:val="center"/>
          </w:tcPr>
          <w:p w14:paraId="197B6E33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975" w:type="dxa"/>
            <w:vAlign w:val="center"/>
          </w:tcPr>
          <w:p w14:paraId="5ACF9096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沉井制作</w:t>
            </w:r>
            <w:proofErr w:type="spellEnd"/>
          </w:p>
        </w:tc>
        <w:tc>
          <w:tcPr>
            <w:tcW w:w="5529" w:type="dxa"/>
            <w:vAlign w:val="center"/>
          </w:tcPr>
          <w:p w14:paraId="17A44D5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制作底节沉井的脚手架平台和模板支撑架搭设不牢固，扣5分</w:t>
            </w:r>
          </w:p>
          <w:p w14:paraId="00B01F95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支垫的布置不满足设计要求或不便于抽垫，扣5-10分</w:t>
            </w:r>
          </w:p>
          <w:p w14:paraId="6073951C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支垫顶面未与钢刃脚底面贴紧，每处扣2分</w:t>
            </w:r>
          </w:p>
          <w:p w14:paraId="22AE84F6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底节沉井抽垫时混凝土强度不符合设计要求，或不满足抽垫后沉井受力要求，扣5分</w:t>
            </w:r>
          </w:p>
          <w:p w14:paraId="7DC4A2D3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沉井底节最小高度以及上部分节制作高度不符合设计规定，或不能确保下沉过程的稳定性，扣5-10分</w:t>
            </w:r>
          </w:p>
          <w:p w14:paraId="36490AD3" w14:textId="77777777" w:rsidR="00C112B0" w:rsidRDefault="00C112B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</w:p>
        </w:tc>
        <w:tc>
          <w:tcPr>
            <w:tcW w:w="975" w:type="dxa"/>
            <w:vAlign w:val="center"/>
          </w:tcPr>
          <w:p w14:paraId="25A4585A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2FE32C31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3264844D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16A521A7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975" w:type="dxa"/>
            <w:vAlign w:val="center"/>
          </w:tcPr>
          <w:p w14:paraId="442F91A4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浮运与就位</w:t>
            </w:r>
            <w:proofErr w:type="spellEnd"/>
          </w:p>
        </w:tc>
        <w:tc>
          <w:tcPr>
            <w:tcW w:w="5529" w:type="dxa"/>
            <w:vAlign w:val="center"/>
          </w:tcPr>
          <w:p w14:paraId="43D0E52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浮式沉井在浮运前未对底节进行水压试验，或对上部各节未进行水密性检查，扣5分</w:t>
            </w:r>
          </w:p>
          <w:p w14:paraId="187EE58F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布置锚碇体系时锚绳受力不均匀，扣3分</w:t>
            </w:r>
          </w:p>
          <w:p w14:paraId="1BB8B7F1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未采取措施避免导向船和沉井产生过大摆动或折断锚绳，扣5分</w:t>
            </w:r>
          </w:p>
          <w:p w14:paraId="5693707B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采取滑移、牵引等措施下水时，沉井后侧未设置溜绳，扣2分</w:t>
            </w:r>
          </w:p>
        </w:tc>
        <w:tc>
          <w:tcPr>
            <w:tcW w:w="975" w:type="dxa"/>
            <w:vAlign w:val="center"/>
          </w:tcPr>
          <w:p w14:paraId="457CAEB2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1F790945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37D60766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7EA42EC2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975" w:type="dxa"/>
            <w:vAlign w:val="center"/>
          </w:tcPr>
          <w:p w14:paraId="76CD35B9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下沉与接高</w:t>
            </w:r>
            <w:proofErr w:type="spellEnd"/>
          </w:p>
        </w:tc>
        <w:tc>
          <w:tcPr>
            <w:tcW w:w="5529" w:type="dxa"/>
            <w:vAlign w:val="center"/>
          </w:tcPr>
          <w:p w14:paraId="48FFE43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沉井在地面上接高时，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井顶露出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地面小于0.5m，扣3分</w:t>
            </w:r>
          </w:p>
          <w:p w14:paraId="644541CA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水上沉井接高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时井顶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露出水面小于1.5m，扣5分</w:t>
            </w:r>
          </w:p>
          <w:p w14:paraId="18ABD676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带气筒的浮式沉井，气筒未采取防护措施，扣3分</w:t>
            </w:r>
          </w:p>
          <w:p w14:paraId="0BEC5021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在刃脚或内隔墙附近开挖时，有人员停留，扣5分</w:t>
            </w:r>
          </w:p>
          <w:p w14:paraId="61A66EA7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有底梁或支撑梁的沉井，有人员在梁下穿越，扣3分</w:t>
            </w:r>
          </w:p>
          <w:p w14:paraId="04A722F0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机械出土时井内站人，扣5分</w:t>
            </w:r>
          </w:p>
          <w:p w14:paraId="6B8688FB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船上或支架上制作的浮式沉井，下水时水面波浪大或有船只经过，扣3分</w:t>
            </w:r>
          </w:p>
        </w:tc>
        <w:tc>
          <w:tcPr>
            <w:tcW w:w="975" w:type="dxa"/>
            <w:vAlign w:val="center"/>
          </w:tcPr>
          <w:p w14:paraId="4BEFD849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49FD6E74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0758C672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702ACD42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975" w:type="dxa"/>
            <w:vAlign w:val="center"/>
          </w:tcPr>
          <w:p w14:paraId="6214014B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检查验收</w:t>
            </w:r>
            <w:proofErr w:type="spellEnd"/>
          </w:p>
        </w:tc>
        <w:tc>
          <w:tcPr>
            <w:tcW w:w="5529" w:type="dxa"/>
            <w:vAlign w:val="center"/>
          </w:tcPr>
          <w:p w14:paraId="4FB1D1E0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施工前未对所用的各项设备进行检查，扣2-5分</w:t>
            </w:r>
          </w:p>
          <w:p w14:paraId="52302BD8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在筑岛填筑完成或沉井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井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体制作完成后未进行验收，扣5分</w:t>
            </w:r>
          </w:p>
          <w:p w14:paraId="2B9E5F9F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钢筋混凝土沉井，未在浇筑混凝土前按规定进行钢筋隐蔽验收，扣5分</w:t>
            </w:r>
          </w:p>
          <w:p w14:paraId="64B24377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在沉井施工完成后，未办理验收手续，或未形成验收记录，扣5分</w:t>
            </w:r>
          </w:p>
        </w:tc>
        <w:tc>
          <w:tcPr>
            <w:tcW w:w="975" w:type="dxa"/>
            <w:vAlign w:val="center"/>
          </w:tcPr>
          <w:p w14:paraId="7B4DA588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7083BE59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2BE696BF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489189C5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975" w:type="dxa"/>
            <w:vAlign w:val="center"/>
          </w:tcPr>
          <w:p w14:paraId="5B9FA16B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封底与填充</w:t>
            </w:r>
            <w:proofErr w:type="spellEnd"/>
          </w:p>
        </w:tc>
        <w:tc>
          <w:tcPr>
            <w:tcW w:w="5529" w:type="dxa"/>
            <w:vAlign w:val="center"/>
          </w:tcPr>
          <w:p w14:paraId="0D8D576E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水下封底沉井井内抽水时封底混凝土未达到设计强度，扣10分</w:t>
            </w:r>
          </w:p>
          <w:p w14:paraId="11DD5661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封底前井壁内隔墙及刃脚与封底混凝土接触面处的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泥污未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清理干净，扣2-3分</w:t>
            </w:r>
          </w:p>
          <w:p w14:paraId="1AAF6DBC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配合水下封底的潜水人员未经专业机构培训并取得相应从业资格，扣5分</w:t>
            </w:r>
          </w:p>
        </w:tc>
        <w:tc>
          <w:tcPr>
            <w:tcW w:w="975" w:type="dxa"/>
            <w:vAlign w:val="center"/>
          </w:tcPr>
          <w:p w14:paraId="3CE79B70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177741D3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00CC4637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5588E6A1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975" w:type="dxa"/>
            <w:vAlign w:val="center"/>
          </w:tcPr>
          <w:p w14:paraId="7A005BE9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使用与监测</w:t>
            </w:r>
            <w:proofErr w:type="spellEnd"/>
          </w:p>
        </w:tc>
        <w:tc>
          <w:tcPr>
            <w:tcW w:w="5529" w:type="dxa"/>
            <w:vAlign w:val="center"/>
          </w:tcPr>
          <w:p w14:paraId="113FFB5A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浮式沉井顶的高度不满足正常施工状态下沉井内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不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灌水的要求，扣5-10分</w:t>
            </w:r>
          </w:p>
          <w:p w14:paraId="55040B32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上部作业平台施工均布荷载、集中荷载超过设计允许范围，扣5-10分</w:t>
            </w:r>
          </w:p>
          <w:p w14:paraId="64D42E9F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下沉时未进行连续观测，或未采取措施对轴线倾斜进行纠偏，扣5分</w:t>
            </w:r>
          </w:p>
        </w:tc>
        <w:tc>
          <w:tcPr>
            <w:tcW w:w="975" w:type="dxa"/>
            <w:vAlign w:val="center"/>
          </w:tcPr>
          <w:p w14:paraId="327C84E8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2E1BB3B5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7115301F" w14:textId="77777777">
        <w:trPr>
          <w:trHeight w:val="1137"/>
          <w:jc w:val="center"/>
        </w:trPr>
        <w:tc>
          <w:tcPr>
            <w:tcW w:w="581" w:type="dxa"/>
            <w:vAlign w:val="center"/>
          </w:tcPr>
          <w:p w14:paraId="38741F9B" w14:textId="77777777" w:rsidR="00C112B0" w:rsidRDefault="0000000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975" w:type="dxa"/>
            <w:vAlign w:val="center"/>
          </w:tcPr>
          <w:p w14:paraId="5D55F3E5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proofErr w:type="spellStart"/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安全防护</w:t>
            </w:r>
            <w:proofErr w:type="spellEnd"/>
          </w:p>
        </w:tc>
        <w:tc>
          <w:tcPr>
            <w:tcW w:w="5529" w:type="dxa"/>
            <w:vAlign w:val="center"/>
          </w:tcPr>
          <w:p w14:paraId="1CE944D3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临边未按规定设置防护栏杆，扣5分</w:t>
            </w:r>
          </w:p>
          <w:p w14:paraId="2D86F132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各井室内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未悬挂钢梯和安全绳，扣5分</w:t>
            </w:r>
          </w:p>
          <w:p w14:paraId="36A8B7DD" w14:textId="77777777" w:rsidR="00C112B0" w:rsidRDefault="00000000">
            <w:pPr>
              <w:pStyle w:val="ad"/>
              <w:jc w:val="left"/>
              <w:rPr>
                <w:rFonts w:ascii="宋体" w:hAnsi="宋体" w:hint="eastAsia"/>
                <w:snapToGrid w:val="0"/>
                <w:color w:val="auto"/>
              </w:rPr>
            </w:pPr>
            <w:r>
              <w:rPr>
                <w:rFonts w:ascii="宋体" w:hAnsi="宋体" w:hint="eastAsia"/>
                <w:snapToGrid w:val="0"/>
                <w:color w:val="auto"/>
              </w:rPr>
              <w:t>船舶停泊处水中沉井未设置船舶靠泊</w:t>
            </w:r>
            <w:proofErr w:type="gramStart"/>
            <w:r>
              <w:rPr>
                <w:rFonts w:ascii="宋体" w:hAnsi="宋体" w:hint="eastAsia"/>
                <w:snapToGrid w:val="0"/>
                <w:color w:val="auto"/>
              </w:rPr>
              <w:t>系揽桩</w:t>
            </w:r>
            <w:proofErr w:type="gramEnd"/>
            <w:r>
              <w:rPr>
                <w:rFonts w:ascii="宋体" w:hAnsi="宋体" w:hint="eastAsia"/>
                <w:snapToGrid w:val="0"/>
                <w:color w:val="auto"/>
              </w:rPr>
              <w:t>，或船舶系缆于沉井结构上，扣5-10分</w:t>
            </w:r>
          </w:p>
        </w:tc>
        <w:tc>
          <w:tcPr>
            <w:tcW w:w="975" w:type="dxa"/>
            <w:vAlign w:val="center"/>
          </w:tcPr>
          <w:p w14:paraId="6C2A322E" w14:textId="77777777" w:rsidR="00C112B0" w:rsidRDefault="00000000">
            <w:pPr>
              <w:pStyle w:val="ad"/>
              <w:rPr>
                <w:rFonts w:ascii="宋体" w:hAnsi="宋体" w:hint="eastAsia"/>
                <w:snapToGrid w:val="0"/>
                <w:color w:val="auto"/>
                <w:lang w:eastAsia="en-US"/>
              </w:rPr>
            </w:pPr>
            <w:r>
              <w:rPr>
                <w:rFonts w:ascii="宋体" w:hAnsi="宋体" w:hint="eastAsia"/>
                <w:snapToGrid w:val="0"/>
                <w:color w:val="auto"/>
                <w:lang w:eastAsia="en-US"/>
              </w:rPr>
              <w:t>10</w:t>
            </w:r>
          </w:p>
        </w:tc>
        <w:tc>
          <w:tcPr>
            <w:tcW w:w="1008" w:type="dxa"/>
            <w:vAlign w:val="center"/>
          </w:tcPr>
          <w:p w14:paraId="749887F8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  <w:tr w:rsidR="00C112B0" w14:paraId="7B4BDBFB" w14:textId="77777777">
        <w:trPr>
          <w:trHeight w:val="1137"/>
          <w:jc w:val="center"/>
        </w:trPr>
        <w:tc>
          <w:tcPr>
            <w:tcW w:w="1556" w:type="dxa"/>
            <w:gridSpan w:val="2"/>
            <w:vAlign w:val="center"/>
          </w:tcPr>
          <w:p w14:paraId="5D0E167C" w14:textId="77777777" w:rsidR="00C112B0" w:rsidRDefault="00000000">
            <w:pPr>
              <w:widowControl/>
              <w:snapToGrid w:val="0"/>
              <w:spacing w:before="68" w:line="192" w:lineRule="auto"/>
              <w:ind w:left="79" w:right="40"/>
              <w:jc w:val="center"/>
              <w:textAlignment w:val="center"/>
              <w:rPr>
                <w:rStyle w:val="font91"/>
                <w:rFonts w:hint="eastAsia"/>
                <w:snapToGrid w:val="0"/>
                <w:kern w:val="0"/>
                <w:sz w:val="21"/>
                <w:szCs w:val="21"/>
              </w:rPr>
            </w:pPr>
            <w:r>
              <w:rPr>
                <w:rStyle w:val="font91"/>
                <w:rFonts w:hint="eastAsia"/>
                <w:snapToGrid w:val="0"/>
                <w:kern w:val="0"/>
                <w:sz w:val="21"/>
                <w:szCs w:val="21"/>
              </w:rPr>
              <w:t>评价项目合计</w:t>
            </w:r>
          </w:p>
        </w:tc>
        <w:tc>
          <w:tcPr>
            <w:tcW w:w="5529" w:type="dxa"/>
            <w:vAlign w:val="center"/>
          </w:tcPr>
          <w:p w14:paraId="13C185AE" w14:textId="77777777" w:rsidR="00C112B0" w:rsidRDefault="00C112B0">
            <w:pPr>
              <w:widowControl/>
              <w:snapToGrid w:val="0"/>
              <w:spacing w:before="68" w:line="192" w:lineRule="auto"/>
              <w:ind w:left="79" w:right="40"/>
              <w:jc w:val="center"/>
              <w:textAlignment w:val="center"/>
              <w:rPr>
                <w:rStyle w:val="font91"/>
                <w:rFonts w:hint="eastAsia"/>
                <w:b/>
                <w:bCs/>
                <w:snapToGrid w:val="0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3D467CFA" w14:textId="77777777" w:rsidR="00C112B0" w:rsidRDefault="00000000">
            <w:pPr>
              <w:widowControl/>
              <w:jc w:val="center"/>
              <w:textAlignment w:val="center"/>
              <w:rPr>
                <w:rStyle w:val="font91"/>
                <w:rFonts w:hint="eastAsia"/>
                <w:snapToGrid w:val="0"/>
                <w:kern w:val="0"/>
                <w:sz w:val="21"/>
                <w:szCs w:val="21"/>
                <w:lang w:eastAsia="en-US"/>
              </w:rPr>
            </w:pPr>
            <w:r>
              <w:rPr>
                <w:rStyle w:val="font91"/>
                <w:rFonts w:hint="eastAsia"/>
                <w:snapToGrid w:val="0"/>
                <w:kern w:val="0"/>
                <w:sz w:val="21"/>
                <w:szCs w:val="21"/>
              </w:rPr>
              <w:t>100</w:t>
            </w:r>
          </w:p>
        </w:tc>
        <w:tc>
          <w:tcPr>
            <w:tcW w:w="1008" w:type="dxa"/>
            <w:vAlign w:val="center"/>
          </w:tcPr>
          <w:p w14:paraId="6E429E4E" w14:textId="77777777" w:rsidR="00C112B0" w:rsidRDefault="00C112B0">
            <w:pPr>
              <w:pStyle w:val="TableText"/>
              <w:spacing w:before="42" w:line="201" w:lineRule="auto"/>
              <w:ind w:left="30" w:right="13"/>
              <w:jc w:val="center"/>
              <w:rPr>
                <w:rFonts w:hint="eastAsia"/>
                <w:spacing w:val="-4"/>
                <w:sz w:val="21"/>
                <w:szCs w:val="21"/>
                <w:lang w:eastAsia="zh-CN"/>
              </w:rPr>
            </w:pPr>
          </w:p>
        </w:tc>
      </w:tr>
    </w:tbl>
    <w:p w14:paraId="53C752A2" w14:textId="77777777" w:rsidR="00C112B0" w:rsidRDefault="00C112B0">
      <w:pPr>
        <w:rPr>
          <w:rFonts w:hint="eastAsia"/>
        </w:rPr>
      </w:pPr>
    </w:p>
    <w:sectPr w:rsidR="00C11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81DE6" w14:textId="77777777" w:rsidR="00A90787" w:rsidRDefault="00A90787" w:rsidP="00C22E17">
      <w:pPr>
        <w:rPr>
          <w:rFonts w:hint="eastAsia"/>
        </w:rPr>
      </w:pPr>
      <w:r>
        <w:separator/>
      </w:r>
    </w:p>
  </w:endnote>
  <w:endnote w:type="continuationSeparator" w:id="0">
    <w:p w14:paraId="27924FC0" w14:textId="77777777" w:rsidR="00A90787" w:rsidRDefault="00A90787" w:rsidP="00C22E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6F6C" w14:textId="77777777" w:rsidR="00A90787" w:rsidRDefault="00A90787" w:rsidP="00C22E17">
      <w:pPr>
        <w:rPr>
          <w:rFonts w:hint="eastAsia"/>
        </w:rPr>
      </w:pPr>
      <w:r>
        <w:separator/>
      </w:r>
    </w:p>
  </w:footnote>
  <w:footnote w:type="continuationSeparator" w:id="0">
    <w:p w14:paraId="086DFDBF" w14:textId="77777777" w:rsidR="00A90787" w:rsidRDefault="00A90787" w:rsidP="00C22E1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020"/>
    <w:rsid w:val="002B3986"/>
    <w:rsid w:val="00790020"/>
    <w:rsid w:val="00A90787"/>
    <w:rsid w:val="00AC7E4B"/>
    <w:rsid w:val="00C04055"/>
    <w:rsid w:val="00C112B0"/>
    <w:rsid w:val="00C22E17"/>
    <w:rsid w:val="097F662E"/>
    <w:rsid w:val="16FA16C0"/>
    <w:rsid w:val="1DAC3B06"/>
    <w:rsid w:val="3AF45E96"/>
    <w:rsid w:val="44C875A7"/>
    <w:rsid w:val="4CBC7AAB"/>
    <w:rsid w:val="5000564D"/>
    <w:rsid w:val="519C7D1B"/>
    <w:rsid w:val="6E52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A065CCD-3A6D-4DFF-B544-FA2AD889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18"/>
      <w:szCs w:val="18"/>
      <w:lang w:eastAsia="en-US"/>
    </w:rPr>
  </w:style>
  <w:style w:type="paragraph" w:customStyle="1" w:styleId="ad">
    <w:name w:val="表格文字"/>
    <w:basedOn w:val="a"/>
    <w:qFormat/>
    <w:pPr>
      <w:widowControl/>
      <w:jc w:val="center"/>
    </w:pPr>
    <w:rPr>
      <w:rFonts w:ascii="Times New Roman" w:eastAsia="宋体" w:hAnsi="Times New Roman" w:cs="宋体"/>
      <w:bCs/>
      <w:color w:val="000000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/>
      <w:color w:val="000000"/>
      <w:sz w:val="34"/>
      <w:szCs w:val="34"/>
      <w:u w:val="none"/>
    </w:rPr>
  </w:style>
  <w:style w:type="paragraph" w:styleId="ae">
    <w:name w:val="header"/>
    <w:basedOn w:val="a"/>
    <w:link w:val="af"/>
    <w:uiPriority w:val="99"/>
    <w:unhideWhenUsed/>
    <w:rsid w:val="00C22E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22E17"/>
    <w:rPr>
      <w:kern w:val="2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2E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22E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823</Words>
  <Characters>857</Characters>
  <Application>Microsoft Office Word</Application>
  <DocSecurity>0</DocSecurity>
  <Lines>95</Lines>
  <Paragraphs>111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wd chen</cp:lastModifiedBy>
  <cp:revision>2</cp:revision>
  <dcterms:created xsi:type="dcterms:W3CDTF">2025-05-02T02:35:00Z</dcterms:created>
  <dcterms:modified xsi:type="dcterms:W3CDTF">2025-05-05T12:45:00Z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eyJoZGlkIjoiYmE5ZTMwYTZhOTIwZjlmNmIwODgzZWMxZmZmZmM5MDIiLCJ1c2VySWQiOiI5MjgwNTQyNDQifQ==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515AED77511A4782BFDDBD3E17B126CC_13</vt:lpwstr>
  </property>
</Properties>
</file>