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F8999" w14:textId="5973C5FF" w:rsidR="00BD2FE7" w:rsidRDefault="00752D1E">
      <w:pPr>
        <w:spacing w:line="360" w:lineRule="auto"/>
        <w:ind w:right="16" w:firstLineChars="200" w:firstLine="562"/>
        <w:jc w:val="center"/>
        <w:rPr>
          <w:rFonts w:ascii="宋体" w:eastAsia="宋体" w:hAnsi="宋体" w:cs="宋体" w:hint="eastAsia"/>
          <w:b/>
          <w:bCs/>
          <w:sz w:val="28"/>
          <w:szCs w:val="28"/>
        </w:rPr>
      </w:pPr>
      <w:bookmarkStart w:id="0" w:name="_Toc10548"/>
      <w:bookmarkStart w:id="1" w:name="_Toc9756"/>
      <w:bookmarkStart w:id="2" w:name="_Toc18899"/>
      <w:r w:rsidRPr="00752D1E">
        <w:rPr>
          <w:rFonts w:ascii="宋体" w:eastAsia="宋体" w:hAnsi="宋体" w:cs="宋体" w:hint="eastAsia"/>
          <w:b/>
          <w:bCs/>
          <w:sz w:val="28"/>
          <w:szCs w:val="28"/>
        </w:rPr>
        <w:t>市政</w:t>
      </w:r>
      <w:r w:rsidR="00000000">
        <w:rPr>
          <w:rFonts w:ascii="宋体" w:eastAsia="宋体" w:hAnsi="宋体" w:cs="宋体" w:hint="eastAsia"/>
          <w:b/>
          <w:bCs/>
          <w:sz w:val="28"/>
          <w:szCs w:val="28"/>
        </w:rPr>
        <w:t>表B5  土石围堰检查评分表</w:t>
      </w:r>
      <w:bookmarkEnd w:id="0"/>
      <w:bookmarkEnd w:id="1"/>
      <w:bookmarkEnd w:id="2"/>
    </w:p>
    <w:p w14:paraId="59A93B2C" w14:textId="77777777" w:rsidR="00BD2FE7" w:rsidRDefault="00BD2FE7">
      <w:pPr>
        <w:rPr>
          <w:rFonts w:hint="eastAsia"/>
        </w:rPr>
      </w:pPr>
    </w:p>
    <w:tbl>
      <w:tblPr>
        <w:tblW w:w="90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1007"/>
        <w:gridCol w:w="5828"/>
        <w:gridCol w:w="825"/>
        <w:gridCol w:w="805"/>
      </w:tblGrid>
      <w:tr w:rsidR="00BD2FE7" w14:paraId="04E3BFE4" w14:textId="77777777">
        <w:trPr>
          <w:trHeight w:val="231"/>
          <w:jc w:val="center"/>
        </w:trPr>
        <w:tc>
          <w:tcPr>
            <w:tcW w:w="581" w:type="dxa"/>
            <w:vAlign w:val="center"/>
          </w:tcPr>
          <w:p w14:paraId="4D899F90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007" w:type="dxa"/>
            <w:vAlign w:val="center"/>
          </w:tcPr>
          <w:p w14:paraId="7712D2E4" w14:textId="77777777" w:rsidR="00BD2FE7" w:rsidRDefault="00000000">
            <w:pPr>
              <w:pStyle w:val="TableText"/>
              <w:tabs>
                <w:tab w:val="left" w:pos="840"/>
              </w:tabs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评价指标</w:t>
            </w:r>
          </w:p>
        </w:tc>
        <w:tc>
          <w:tcPr>
            <w:tcW w:w="5828" w:type="dxa"/>
            <w:vAlign w:val="center"/>
          </w:tcPr>
          <w:p w14:paraId="07F75F1F" w14:textId="77777777" w:rsidR="00BD2FE7" w:rsidRDefault="00000000">
            <w:pPr>
              <w:pStyle w:val="TableText"/>
              <w:spacing w:line="22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pacing w:val="-6"/>
                <w:sz w:val="21"/>
                <w:szCs w:val="21"/>
              </w:rPr>
              <w:t>标准</w:t>
            </w:r>
            <w:proofErr w:type="spellEnd"/>
            <w:r>
              <w:rPr>
                <w:rFonts w:hint="eastAsia"/>
                <w:spacing w:val="-6"/>
                <w:sz w:val="21"/>
                <w:szCs w:val="21"/>
                <w:lang w:eastAsia="zh-CN"/>
              </w:rPr>
              <w:t>要求</w:t>
            </w:r>
          </w:p>
        </w:tc>
        <w:tc>
          <w:tcPr>
            <w:tcW w:w="1630" w:type="dxa"/>
            <w:gridSpan w:val="2"/>
            <w:vAlign w:val="center"/>
          </w:tcPr>
          <w:p w14:paraId="2B91A0B4" w14:textId="77777777" w:rsidR="00BD2FE7" w:rsidRDefault="0000000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评价结果</w:t>
            </w:r>
          </w:p>
        </w:tc>
      </w:tr>
      <w:tr w:rsidR="00BD2FE7" w14:paraId="79CFAEE1" w14:textId="77777777">
        <w:trPr>
          <w:trHeight w:val="444"/>
          <w:jc w:val="center"/>
        </w:trPr>
        <w:tc>
          <w:tcPr>
            <w:tcW w:w="581" w:type="dxa"/>
            <w:vMerge w:val="restart"/>
            <w:vAlign w:val="center"/>
          </w:tcPr>
          <w:p w14:paraId="3633E09B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78F2E1FB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控制项</w:t>
            </w:r>
          </w:p>
        </w:tc>
        <w:tc>
          <w:tcPr>
            <w:tcW w:w="5828" w:type="dxa"/>
            <w:vAlign w:val="center"/>
          </w:tcPr>
          <w:p w14:paraId="16909E38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危险性较大分部分项工程按规定编制专项施工方案</w:t>
            </w:r>
          </w:p>
          <w:p w14:paraId="20454011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超过一定规模的危大工程方案组织专家论证</w:t>
            </w:r>
          </w:p>
        </w:tc>
        <w:tc>
          <w:tcPr>
            <w:tcW w:w="1630" w:type="dxa"/>
            <w:gridSpan w:val="2"/>
            <w:vAlign w:val="center"/>
          </w:tcPr>
          <w:p w14:paraId="1B5123F5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br/>
            </w: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BD2FE7" w14:paraId="6042836D" w14:textId="77777777">
        <w:trPr>
          <w:trHeight w:val="253"/>
          <w:jc w:val="center"/>
        </w:trPr>
        <w:tc>
          <w:tcPr>
            <w:tcW w:w="581" w:type="dxa"/>
            <w:vMerge/>
            <w:vAlign w:val="center"/>
          </w:tcPr>
          <w:p w14:paraId="5420222E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5D95A94A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5828" w:type="dxa"/>
            <w:vAlign w:val="center"/>
          </w:tcPr>
          <w:p w14:paraId="7CAD4E54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围堰高度不满足挡水安全要求</w:t>
            </w:r>
          </w:p>
        </w:tc>
        <w:tc>
          <w:tcPr>
            <w:tcW w:w="1630" w:type="dxa"/>
            <w:gridSpan w:val="2"/>
            <w:vAlign w:val="center"/>
          </w:tcPr>
          <w:p w14:paraId="0045CAB9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BD2FE7" w14:paraId="595551DF" w14:textId="77777777">
        <w:trPr>
          <w:trHeight w:val="253"/>
          <w:jc w:val="center"/>
        </w:trPr>
        <w:tc>
          <w:tcPr>
            <w:tcW w:w="581" w:type="dxa"/>
            <w:vMerge/>
            <w:vAlign w:val="center"/>
          </w:tcPr>
          <w:p w14:paraId="67EE1AD5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07" w:type="dxa"/>
            <w:vMerge/>
            <w:vAlign w:val="center"/>
          </w:tcPr>
          <w:p w14:paraId="6DFAA3D9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828" w:type="dxa"/>
            <w:vAlign w:val="center"/>
          </w:tcPr>
          <w:p w14:paraId="10B2C4CB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按规定配备专职安全员；项目负责人、专职安全员应取得有效安全生产考核合格证</w:t>
            </w:r>
          </w:p>
        </w:tc>
        <w:tc>
          <w:tcPr>
            <w:tcW w:w="1630" w:type="dxa"/>
            <w:gridSpan w:val="2"/>
            <w:vAlign w:val="center"/>
          </w:tcPr>
          <w:p w14:paraId="6E45D403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BD2FE7" w14:paraId="67D2DAB8" w14:textId="77777777">
        <w:trPr>
          <w:trHeight w:val="253"/>
          <w:jc w:val="center"/>
        </w:trPr>
        <w:tc>
          <w:tcPr>
            <w:tcW w:w="581" w:type="dxa"/>
            <w:vMerge/>
            <w:vAlign w:val="center"/>
          </w:tcPr>
          <w:p w14:paraId="12D54838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07" w:type="dxa"/>
            <w:vMerge/>
            <w:vAlign w:val="center"/>
          </w:tcPr>
          <w:p w14:paraId="29B5A3EB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828" w:type="dxa"/>
            <w:vAlign w:val="center"/>
          </w:tcPr>
          <w:p w14:paraId="2A80048E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特种作业人员应取得有效特种作业人员操作资格证书</w:t>
            </w:r>
          </w:p>
        </w:tc>
        <w:tc>
          <w:tcPr>
            <w:tcW w:w="1630" w:type="dxa"/>
            <w:gridSpan w:val="2"/>
            <w:vAlign w:val="center"/>
          </w:tcPr>
          <w:p w14:paraId="0194D4D2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BD2FE7" w14:paraId="6F9A2D89" w14:textId="77777777">
        <w:trPr>
          <w:trHeight w:val="233"/>
          <w:jc w:val="center"/>
        </w:trPr>
        <w:tc>
          <w:tcPr>
            <w:tcW w:w="581" w:type="dxa"/>
            <w:vMerge/>
            <w:vAlign w:val="center"/>
          </w:tcPr>
          <w:p w14:paraId="0552FEB9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07" w:type="dxa"/>
            <w:vMerge/>
            <w:vAlign w:val="center"/>
          </w:tcPr>
          <w:p w14:paraId="2D8955C5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828" w:type="dxa"/>
            <w:vAlign w:val="center"/>
          </w:tcPr>
          <w:p w14:paraId="740DA616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按照方案施工</w:t>
            </w:r>
            <w:proofErr w:type="spellEnd"/>
          </w:p>
        </w:tc>
        <w:tc>
          <w:tcPr>
            <w:tcW w:w="1630" w:type="dxa"/>
            <w:gridSpan w:val="2"/>
            <w:vAlign w:val="center"/>
          </w:tcPr>
          <w:p w14:paraId="13E95505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BD2FE7" w14:paraId="05FA2F3D" w14:textId="77777777">
        <w:trPr>
          <w:trHeight w:val="233"/>
          <w:jc w:val="center"/>
        </w:trPr>
        <w:tc>
          <w:tcPr>
            <w:tcW w:w="581" w:type="dxa"/>
            <w:vMerge/>
            <w:vAlign w:val="center"/>
          </w:tcPr>
          <w:p w14:paraId="380A54ED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07" w:type="dxa"/>
            <w:vMerge/>
            <w:vAlign w:val="center"/>
          </w:tcPr>
          <w:p w14:paraId="58984CF7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828" w:type="dxa"/>
            <w:vAlign w:val="center"/>
          </w:tcPr>
          <w:p w14:paraId="687328A0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方案实施前，进行安全技术交底</w:t>
            </w:r>
          </w:p>
        </w:tc>
        <w:tc>
          <w:tcPr>
            <w:tcW w:w="1630" w:type="dxa"/>
            <w:gridSpan w:val="2"/>
            <w:vAlign w:val="center"/>
          </w:tcPr>
          <w:p w14:paraId="593CA04B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BD2FE7" w14:paraId="4EA0798D" w14:textId="77777777">
        <w:trPr>
          <w:trHeight w:val="233"/>
          <w:jc w:val="center"/>
        </w:trPr>
        <w:tc>
          <w:tcPr>
            <w:tcW w:w="581" w:type="dxa"/>
            <w:vMerge/>
            <w:vAlign w:val="center"/>
          </w:tcPr>
          <w:p w14:paraId="14A3B70A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07" w:type="dxa"/>
            <w:vMerge/>
            <w:vAlign w:val="center"/>
          </w:tcPr>
          <w:p w14:paraId="4B0873FC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828" w:type="dxa"/>
            <w:vAlign w:val="center"/>
          </w:tcPr>
          <w:p w14:paraId="028A5642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按规定设置水位标尺</w:t>
            </w:r>
          </w:p>
        </w:tc>
        <w:tc>
          <w:tcPr>
            <w:tcW w:w="1630" w:type="dxa"/>
            <w:gridSpan w:val="2"/>
            <w:vAlign w:val="center"/>
          </w:tcPr>
          <w:p w14:paraId="73696AD9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BD2FE7" w14:paraId="1B66CE36" w14:textId="77777777">
        <w:trPr>
          <w:trHeight w:val="233"/>
          <w:jc w:val="center"/>
        </w:trPr>
        <w:tc>
          <w:tcPr>
            <w:tcW w:w="581" w:type="dxa"/>
            <w:vMerge/>
            <w:vAlign w:val="center"/>
          </w:tcPr>
          <w:p w14:paraId="1D5454BF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07" w:type="dxa"/>
            <w:vMerge/>
            <w:vAlign w:val="center"/>
          </w:tcPr>
          <w:p w14:paraId="7CF2B946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828" w:type="dxa"/>
            <w:vAlign w:val="center"/>
          </w:tcPr>
          <w:p w14:paraId="52F3C283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堰顶临边按规定设置防护栏杆</w:t>
            </w:r>
          </w:p>
        </w:tc>
        <w:tc>
          <w:tcPr>
            <w:tcW w:w="1630" w:type="dxa"/>
            <w:gridSpan w:val="2"/>
            <w:vAlign w:val="center"/>
          </w:tcPr>
          <w:p w14:paraId="57A9B1EF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BD2FE7" w14:paraId="215E0733" w14:textId="77777777">
        <w:trPr>
          <w:trHeight w:val="233"/>
          <w:jc w:val="center"/>
        </w:trPr>
        <w:tc>
          <w:tcPr>
            <w:tcW w:w="581" w:type="dxa"/>
            <w:vMerge/>
            <w:vAlign w:val="center"/>
          </w:tcPr>
          <w:p w14:paraId="40F64B42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07" w:type="dxa"/>
            <w:vMerge/>
            <w:vAlign w:val="center"/>
          </w:tcPr>
          <w:p w14:paraId="0B83DF71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828" w:type="dxa"/>
            <w:vAlign w:val="center"/>
          </w:tcPr>
          <w:p w14:paraId="3A6EB1A1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围堰按从下游至上游的顺序拆除</w:t>
            </w:r>
          </w:p>
        </w:tc>
        <w:tc>
          <w:tcPr>
            <w:tcW w:w="1630" w:type="dxa"/>
            <w:gridSpan w:val="2"/>
            <w:vAlign w:val="center"/>
          </w:tcPr>
          <w:p w14:paraId="7DEE2490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BD2FE7" w14:paraId="1D50B282" w14:textId="77777777">
        <w:trPr>
          <w:trHeight w:val="233"/>
          <w:jc w:val="center"/>
        </w:trPr>
        <w:tc>
          <w:tcPr>
            <w:tcW w:w="581" w:type="dxa"/>
            <w:vMerge/>
            <w:vAlign w:val="center"/>
          </w:tcPr>
          <w:p w14:paraId="3AD95D7A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07" w:type="dxa"/>
            <w:vMerge/>
            <w:vAlign w:val="center"/>
          </w:tcPr>
          <w:p w14:paraId="0614654F" w14:textId="77777777" w:rsidR="00BD2FE7" w:rsidRDefault="00BD2FE7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828" w:type="dxa"/>
            <w:vAlign w:val="center"/>
          </w:tcPr>
          <w:p w14:paraId="55E56D09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危大工程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应验收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合格才能进行下一道工序</w:t>
            </w:r>
          </w:p>
        </w:tc>
        <w:tc>
          <w:tcPr>
            <w:tcW w:w="1630" w:type="dxa"/>
            <w:gridSpan w:val="2"/>
            <w:vAlign w:val="center"/>
          </w:tcPr>
          <w:p w14:paraId="4BDBBDDC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BD2FE7" w14:paraId="70259DA8" w14:textId="77777777">
        <w:trPr>
          <w:trHeight w:val="217"/>
          <w:jc w:val="center"/>
        </w:trPr>
        <w:tc>
          <w:tcPr>
            <w:tcW w:w="581" w:type="dxa"/>
            <w:vMerge w:val="restart"/>
            <w:vAlign w:val="center"/>
          </w:tcPr>
          <w:p w14:paraId="759379AA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 w14:paraId="61EABA90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评分项目</w:t>
            </w:r>
          </w:p>
        </w:tc>
        <w:tc>
          <w:tcPr>
            <w:tcW w:w="5828" w:type="dxa"/>
            <w:vMerge w:val="restart"/>
            <w:vAlign w:val="center"/>
          </w:tcPr>
          <w:p w14:paraId="2DFE5277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扣分标准</w:t>
            </w:r>
            <w:proofErr w:type="spellEnd"/>
          </w:p>
        </w:tc>
        <w:tc>
          <w:tcPr>
            <w:tcW w:w="1630" w:type="dxa"/>
            <w:gridSpan w:val="2"/>
            <w:vAlign w:val="center"/>
          </w:tcPr>
          <w:p w14:paraId="070DC4C0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评价得分</w:t>
            </w:r>
            <w:proofErr w:type="spellEnd"/>
          </w:p>
        </w:tc>
      </w:tr>
      <w:tr w:rsidR="00BD2FE7" w14:paraId="504CDFEF" w14:textId="77777777">
        <w:trPr>
          <w:trHeight w:val="90"/>
          <w:jc w:val="center"/>
        </w:trPr>
        <w:tc>
          <w:tcPr>
            <w:tcW w:w="581" w:type="dxa"/>
            <w:vMerge/>
            <w:vAlign w:val="center"/>
          </w:tcPr>
          <w:p w14:paraId="592DCB81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75337BDF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5828" w:type="dxa"/>
            <w:vMerge/>
            <w:vAlign w:val="center"/>
          </w:tcPr>
          <w:p w14:paraId="2C692F8C" w14:textId="77777777" w:rsidR="00BD2FE7" w:rsidRDefault="00BD2FE7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</w:p>
        </w:tc>
        <w:tc>
          <w:tcPr>
            <w:tcW w:w="825" w:type="dxa"/>
            <w:vAlign w:val="center"/>
          </w:tcPr>
          <w:p w14:paraId="12AA9E61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应得分</w:t>
            </w:r>
            <w:proofErr w:type="spellEnd"/>
          </w:p>
        </w:tc>
        <w:tc>
          <w:tcPr>
            <w:tcW w:w="805" w:type="dxa"/>
            <w:vAlign w:val="center"/>
          </w:tcPr>
          <w:p w14:paraId="2830B1F6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实得分</w:t>
            </w:r>
            <w:proofErr w:type="spellEnd"/>
          </w:p>
        </w:tc>
      </w:tr>
      <w:tr w:rsidR="00BD2FE7" w14:paraId="264D0B94" w14:textId="77777777">
        <w:trPr>
          <w:trHeight w:val="911"/>
          <w:jc w:val="center"/>
        </w:trPr>
        <w:tc>
          <w:tcPr>
            <w:tcW w:w="581" w:type="dxa"/>
            <w:vAlign w:val="center"/>
          </w:tcPr>
          <w:p w14:paraId="06E0806C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007" w:type="dxa"/>
            <w:vAlign w:val="center"/>
          </w:tcPr>
          <w:p w14:paraId="6AA1F789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方案与交底</w:t>
            </w:r>
            <w:proofErr w:type="spellEnd"/>
          </w:p>
        </w:tc>
        <w:tc>
          <w:tcPr>
            <w:tcW w:w="5828" w:type="dxa"/>
            <w:vAlign w:val="center"/>
          </w:tcPr>
          <w:p w14:paraId="12BC5B5B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专项方案未按规定进行审核、审批，扣10-15分</w:t>
            </w:r>
          </w:p>
          <w:p w14:paraId="13B4D262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交底无针对性或无文字记录，扣5-15分</w:t>
            </w:r>
          </w:p>
        </w:tc>
        <w:tc>
          <w:tcPr>
            <w:tcW w:w="825" w:type="dxa"/>
            <w:vAlign w:val="center"/>
          </w:tcPr>
          <w:p w14:paraId="1932E5B5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15</w:t>
            </w:r>
          </w:p>
        </w:tc>
        <w:tc>
          <w:tcPr>
            <w:tcW w:w="805" w:type="dxa"/>
            <w:vAlign w:val="center"/>
          </w:tcPr>
          <w:p w14:paraId="20EEFBEC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BD2FE7" w14:paraId="5EF637D1" w14:textId="77777777">
        <w:trPr>
          <w:trHeight w:val="1062"/>
          <w:jc w:val="center"/>
        </w:trPr>
        <w:tc>
          <w:tcPr>
            <w:tcW w:w="581" w:type="dxa"/>
            <w:vAlign w:val="center"/>
          </w:tcPr>
          <w:p w14:paraId="022EC845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07" w:type="dxa"/>
            <w:vAlign w:val="center"/>
          </w:tcPr>
          <w:p w14:paraId="72FD4866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筑堰材料</w:t>
            </w:r>
            <w:proofErr w:type="spellEnd"/>
          </w:p>
        </w:tc>
        <w:tc>
          <w:tcPr>
            <w:tcW w:w="5828" w:type="dxa"/>
            <w:vAlign w:val="center"/>
          </w:tcPr>
          <w:p w14:paraId="06165F90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筑堰材料与土围堰的填筑方式不适应相适应，或筑堰料不符合规定，扣5-10分</w:t>
            </w:r>
          </w:p>
          <w:p w14:paraId="5F1EA94F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用草袋、麻袋等装土筑堰时，填料渗水，或装土方式不符合规定，扣5-10分</w:t>
            </w:r>
          </w:p>
        </w:tc>
        <w:tc>
          <w:tcPr>
            <w:tcW w:w="825" w:type="dxa"/>
            <w:vAlign w:val="center"/>
          </w:tcPr>
          <w:p w14:paraId="3F08E102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805" w:type="dxa"/>
            <w:vAlign w:val="center"/>
          </w:tcPr>
          <w:p w14:paraId="10FF15A5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BD2FE7" w14:paraId="497A1476" w14:textId="77777777">
        <w:trPr>
          <w:trHeight w:val="2375"/>
          <w:jc w:val="center"/>
        </w:trPr>
        <w:tc>
          <w:tcPr>
            <w:tcW w:w="581" w:type="dxa"/>
            <w:vAlign w:val="center"/>
          </w:tcPr>
          <w:p w14:paraId="22CA3E1C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007" w:type="dxa"/>
            <w:vAlign w:val="center"/>
          </w:tcPr>
          <w:p w14:paraId="51FD4820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堰身构造</w:t>
            </w:r>
            <w:proofErr w:type="spellEnd"/>
          </w:p>
        </w:tc>
        <w:tc>
          <w:tcPr>
            <w:tcW w:w="5828" w:type="dxa"/>
            <w:vAlign w:val="center"/>
          </w:tcPr>
          <w:p w14:paraId="08CA510A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土石围堰的外形尺寸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应影响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河道泄洪或通航能力，扣10-15分</w:t>
            </w:r>
          </w:p>
          <w:p w14:paraId="7EFAF7C1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围堰外侧迎水面未采取防冲刷措施，或防水不严密，扣10分</w:t>
            </w:r>
          </w:p>
          <w:p w14:paraId="50F865DB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围堰填筑内侧坡脚到基坑开挖边缘距离不符专项施工方案要求，扣10-15分</w:t>
            </w:r>
          </w:p>
        </w:tc>
        <w:tc>
          <w:tcPr>
            <w:tcW w:w="825" w:type="dxa"/>
            <w:vAlign w:val="center"/>
          </w:tcPr>
          <w:p w14:paraId="72CE52CE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15</w:t>
            </w:r>
          </w:p>
        </w:tc>
        <w:tc>
          <w:tcPr>
            <w:tcW w:w="805" w:type="dxa"/>
            <w:vAlign w:val="center"/>
          </w:tcPr>
          <w:p w14:paraId="6304BD3C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BD2FE7" w14:paraId="1A882606" w14:textId="77777777">
        <w:trPr>
          <w:trHeight w:val="1331"/>
          <w:jc w:val="center"/>
        </w:trPr>
        <w:tc>
          <w:tcPr>
            <w:tcW w:w="581" w:type="dxa"/>
            <w:vAlign w:val="center"/>
          </w:tcPr>
          <w:p w14:paraId="35E371F3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007" w:type="dxa"/>
            <w:vAlign w:val="center"/>
          </w:tcPr>
          <w:p w14:paraId="76984746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围堰填筑</w:t>
            </w:r>
            <w:proofErr w:type="spellEnd"/>
          </w:p>
        </w:tc>
        <w:tc>
          <w:tcPr>
            <w:tcW w:w="5828" w:type="dxa"/>
            <w:vAlign w:val="center"/>
          </w:tcPr>
          <w:p w14:paraId="0B0AEBA5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未按规定到相关部门办理河道施工通航备案手续，扣5-10分</w:t>
            </w:r>
          </w:p>
          <w:p w14:paraId="307795F2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围堰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填筑未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分层进行，扣5-10分</w:t>
            </w:r>
          </w:p>
          <w:p w14:paraId="34624487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围堰基础清理未在小围堰保护下进行，扣5-10分</w:t>
            </w:r>
          </w:p>
          <w:p w14:paraId="1FAC2E25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堰体范围内的水井、泉眼、地道等未按规定处理，扣5-10分；</w:t>
            </w:r>
          </w:p>
          <w:p w14:paraId="1449BECD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未经验收并形成记录，扣5-8分</w:t>
            </w:r>
          </w:p>
          <w:p w14:paraId="413FA453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采用吸泥船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吹砂筑岛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时，其他船舶和无关人员进入作业区内，或有人员在承载吸泥管的浮筒上行走，扣5-10分</w:t>
            </w:r>
          </w:p>
        </w:tc>
        <w:tc>
          <w:tcPr>
            <w:tcW w:w="825" w:type="dxa"/>
            <w:vAlign w:val="center"/>
          </w:tcPr>
          <w:p w14:paraId="41D7AC59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805" w:type="dxa"/>
            <w:vAlign w:val="center"/>
          </w:tcPr>
          <w:p w14:paraId="785EBE0D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BD2FE7" w14:paraId="2C93A9F8" w14:textId="77777777">
        <w:trPr>
          <w:trHeight w:val="1137"/>
          <w:jc w:val="center"/>
        </w:trPr>
        <w:tc>
          <w:tcPr>
            <w:tcW w:w="581" w:type="dxa"/>
            <w:vAlign w:val="center"/>
          </w:tcPr>
          <w:p w14:paraId="34047C85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  <w:p w14:paraId="612E5DD3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  <w:p w14:paraId="5A81EE57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007" w:type="dxa"/>
            <w:vAlign w:val="center"/>
          </w:tcPr>
          <w:p w14:paraId="3C1F5769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监测</w:t>
            </w:r>
            <w:proofErr w:type="spellEnd"/>
          </w:p>
        </w:tc>
        <w:tc>
          <w:tcPr>
            <w:tcW w:w="5828" w:type="dxa"/>
            <w:vAlign w:val="center"/>
          </w:tcPr>
          <w:p w14:paraId="5160D787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围堰施工过程中未进行全面监测，扣5-10分</w:t>
            </w:r>
          </w:p>
          <w:p w14:paraId="53791CEC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未按规定记录各时间段的水位情况，扣5-10分</w:t>
            </w:r>
          </w:p>
        </w:tc>
        <w:tc>
          <w:tcPr>
            <w:tcW w:w="825" w:type="dxa"/>
            <w:vAlign w:val="center"/>
          </w:tcPr>
          <w:p w14:paraId="21828041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805" w:type="dxa"/>
            <w:vAlign w:val="center"/>
          </w:tcPr>
          <w:p w14:paraId="0FA309C0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BD2FE7" w14:paraId="6113F3E7" w14:textId="77777777">
        <w:trPr>
          <w:trHeight w:val="848"/>
          <w:jc w:val="center"/>
        </w:trPr>
        <w:tc>
          <w:tcPr>
            <w:tcW w:w="581" w:type="dxa"/>
            <w:vAlign w:val="center"/>
          </w:tcPr>
          <w:p w14:paraId="0598D5CE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007" w:type="dxa"/>
            <w:vAlign w:val="center"/>
          </w:tcPr>
          <w:p w14:paraId="14B1C2B4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验收</w:t>
            </w:r>
            <w:proofErr w:type="spellEnd"/>
          </w:p>
        </w:tc>
        <w:tc>
          <w:tcPr>
            <w:tcW w:w="5828" w:type="dxa"/>
            <w:vAlign w:val="center"/>
          </w:tcPr>
          <w:p w14:paraId="0F41A83D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验收内容未量化或未经责任人签字确认，扣5-8分</w:t>
            </w:r>
          </w:p>
          <w:p w14:paraId="180B40BB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验收合格后未在明显位置悬挂验收合格牌，扣2分</w:t>
            </w:r>
          </w:p>
        </w:tc>
        <w:tc>
          <w:tcPr>
            <w:tcW w:w="825" w:type="dxa"/>
            <w:vAlign w:val="center"/>
          </w:tcPr>
          <w:p w14:paraId="5DD00773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805" w:type="dxa"/>
            <w:vAlign w:val="center"/>
          </w:tcPr>
          <w:p w14:paraId="6F53AE5B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BD2FE7" w14:paraId="6CA383B9" w14:textId="77777777">
        <w:trPr>
          <w:trHeight w:val="1137"/>
          <w:jc w:val="center"/>
        </w:trPr>
        <w:tc>
          <w:tcPr>
            <w:tcW w:w="581" w:type="dxa"/>
            <w:vAlign w:val="center"/>
          </w:tcPr>
          <w:p w14:paraId="1673B672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007" w:type="dxa"/>
            <w:vAlign w:val="center"/>
          </w:tcPr>
          <w:p w14:paraId="397EE160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安全防护</w:t>
            </w:r>
            <w:proofErr w:type="spellEnd"/>
          </w:p>
        </w:tc>
        <w:tc>
          <w:tcPr>
            <w:tcW w:w="5828" w:type="dxa"/>
            <w:vAlign w:val="center"/>
          </w:tcPr>
          <w:p w14:paraId="63D8F585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未设置夜间警示灯，扣5-10分</w:t>
            </w:r>
          </w:p>
          <w:p w14:paraId="5C932B17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围堰内未设置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供人员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上下的专用通道或通道设置不符合标准要求，扣5-10分</w:t>
            </w:r>
          </w:p>
        </w:tc>
        <w:tc>
          <w:tcPr>
            <w:tcW w:w="825" w:type="dxa"/>
            <w:vAlign w:val="center"/>
          </w:tcPr>
          <w:p w14:paraId="709FA1FB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805" w:type="dxa"/>
            <w:vAlign w:val="center"/>
          </w:tcPr>
          <w:p w14:paraId="369341D2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BD2FE7" w14:paraId="569107BF" w14:textId="77777777">
        <w:trPr>
          <w:trHeight w:val="1137"/>
          <w:jc w:val="center"/>
        </w:trPr>
        <w:tc>
          <w:tcPr>
            <w:tcW w:w="581" w:type="dxa"/>
            <w:vAlign w:val="center"/>
          </w:tcPr>
          <w:p w14:paraId="629D4203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007" w:type="dxa"/>
            <w:vAlign w:val="center"/>
          </w:tcPr>
          <w:p w14:paraId="776B079D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拆除</w:t>
            </w:r>
            <w:proofErr w:type="spellEnd"/>
          </w:p>
        </w:tc>
        <w:tc>
          <w:tcPr>
            <w:tcW w:w="5828" w:type="dxa"/>
            <w:vAlign w:val="center"/>
          </w:tcPr>
          <w:p w14:paraId="0B25C8BE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围堰内工程基础施工完成后，未及时拆除围堰，扣5-8分</w:t>
            </w:r>
          </w:p>
          <w:p w14:paraId="58E83BAF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围堰拆除污染水体，扣5-10分</w:t>
            </w:r>
          </w:p>
        </w:tc>
        <w:tc>
          <w:tcPr>
            <w:tcW w:w="825" w:type="dxa"/>
            <w:vAlign w:val="center"/>
          </w:tcPr>
          <w:p w14:paraId="1567AAD4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805" w:type="dxa"/>
            <w:vAlign w:val="center"/>
          </w:tcPr>
          <w:p w14:paraId="70582776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BD2FE7" w14:paraId="7C253F18" w14:textId="77777777">
        <w:trPr>
          <w:trHeight w:val="1137"/>
          <w:jc w:val="center"/>
        </w:trPr>
        <w:tc>
          <w:tcPr>
            <w:tcW w:w="581" w:type="dxa"/>
            <w:vAlign w:val="center"/>
          </w:tcPr>
          <w:p w14:paraId="0AD642AB" w14:textId="77777777" w:rsidR="00BD2FE7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007" w:type="dxa"/>
            <w:vAlign w:val="center"/>
          </w:tcPr>
          <w:p w14:paraId="7933491D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河道清理</w:t>
            </w:r>
            <w:proofErr w:type="spellEnd"/>
          </w:p>
        </w:tc>
        <w:tc>
          <w:tcPr>
            <w:tcW w:w="5828" w:type="dxa"/>
            <w:vAlign w:val="center"/>
          </w:tcPr>
          <w:p w14:paraId="1F83DFB4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拆除围堰弃土应未专项施工方案的规定外运，或往河道内抛填，扣5-10分</w:t>
            </w:r>
          </w:p>
          <w:p w14:paraId="6B94AE42" w14:textId="77777777" w:rsidR="00BD2FE7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围堰拆除后未按照当地水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务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相关部门要求清理河道，扣5-10分</w:t>
            </w:r>
          </w:p>
        </w:tc>
        <w:tc>
          <w:tcPr>
            <w:tcW w:w="825" w:type="dxa"/>
            <w:vAlign w:val="center"/>
          </w:tcPr>
          <w:p w14:paraId="6F81C84C" w14:textId="77777777" w:rsidR="00BD2FE7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805" w:type="dxa"/>
            <w:vAlign w:val="center"/>
          </w:tcPr>
          <w:p w14:paraId="0725DA3B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BD2FE7" w14:paraId="7E2265BC" w14:textId="77777777">
        <w:trPr>
          <w:trHeight w:val="1137"/>
          <w:jc w:val="center"/>
        </w:trPr>
        <w:tc>
          <w:tcPr>
            <w:tcW w:w="1588" w:type="dxa"/>
            <w:gridSpan w:val="2"/>
            <w:vAlign w:val="center"/>
          </w:tcPr>
          <w:p w14:paraId="512EDDCA" w14:textId="77777777" w:rsidR="00BD2FE7" w:rsidRDefault="00000000">
            <w:pPr>
              <w:widowControl/>
              <w:snapToGrid w:val="0"/>
              <w:spacing w:before="68" w:line="192" w:lineRule="auto"/>
              <w:ind w:left="79" w:right="40"/>
              <w:jc w:val="center"/>
              <w:textAlignment w:val="center"/>
              <w:rPr>
                <w:rStyle w:val="font91"/>
                <w:rFonts w:hint="eastAsia"/>
                <w:snapToGrid w:val="0"/>
                <w:kern w:val="0"/>
                <w:sz w:val="21"/>
                <w:szCs w:val="21"/>
                <w:lang w:eastAsia="en-US"/>
              </w:rPr>
            </w:pPr>
            <w:r>
              <w:rPr>
                <w:rStyle w:val="font91"/>
                <w:rFonts w:hint="eastAsia"/>
                <w:snapToGrid w:val="0"/>
                <w:kern w:val="0"/>
                <w:sz w:val="21"/>
                <w:szCs w:val="21"/>
              </w:rPr>
              <w:t>评价项目合计</w:t>
            </w:r>
          </w:p>
        </w:tc>
        <w:tc>
          <w:tcPr>
            <w:tcW w:w="5828" w:type="dxa"/>
            <w:vAlign w:val="center"/>
          </w:tcPr>
          <w:p w14:paraId="04369363" w14:textId="77777777" w:rsidR="00BD2FE7" w:rsidRDefault="00BD2FE7">
            <w:pPr>
              <w:widowControl/>
              <w:snapToGrid w:val="0"/>
              <w:spacing w:before="68" w:line="192" w:lineRule="auto"/>
              <w:ind w:left="79" w:right="40"/>
              <w:jc w:val="center"/>
              <w:textAlignment w:val="center"/>
              <w:rPr>
                <w:rStyle w:val="font91"/>
                <w:rFonts w:hint="eastAsia"/>
                <w:b/>
                <w:bCs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64E60820" w14:textId="77777777" w:rsidR="00BD2FE7" w:rsidRDefault="00000000">
            <w:pPr>
              <w:widowControl/>
              <w:jc w:val="center"/>
              <w:textAlignment w:val="center"/>
              <w:rPr>
                <w:rStyle w:val="font91"/>
                <w:rFonts w:hint="eastAsia"/>
                <w:snapToGrid w:val="0"/>
                <w:kern w:val="0"/>
                <w:sz w:val="21"/>
                <w:szCs w:val="21"/>
                <w:lang w:eastAsia="en-US"/>
              </w:rPr>
            </w:pPr>
            <w:r>
              <w:rPr>
                <w:rStyle w:val="font91"/>
                <w:rFonts w:hint="eastAsia"/>
                <w:snapToGrid w:val="0"/>
                <w:kern w:val="0"/>
                <w:sz w:val="21"/>
                <w:szCs w:val="21"/>
              </w:rPr>
              <w:t>100</w:t>
            </w:r>
          </w:p>
        </w:tc>
        <w:tc>
          <w:tcPr>
            <w:tcW w:w="805" w:type="dxa"/>
            <w:vAlign w:val="center"/>
          </w:tcPr>
          <w:p w14:paraId="7F730D2C" w14:textId="77777777" w:rsidR="00BD2FE7" w:rsidRDefault="00BD2FE7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</w:tbl>
    <w:p w14:paraId="59CBD73D" w14:textId="77777777" w:rsidR="00BD2FE7" w:rsidRDefault="00BD2FE7">
      <w:pPr>
        <w:rPr>
          <w:rFonts w:hint="eastAsia"/>
        </w:rPr>
      </w:pPr>
    </w:p>
    <w:sectPr w:rsidR="00BD2F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EC0D7" w14:textId="77777777" w:rsidR="00A76F8D" w:rsidRDefault="00A76F8D" w:rsidP="00752D1E">
      <w:pPr>
        <w:rPr>
          <w:rFonts w:hint="eastAsia"/>
        </w:rPr>
      </w:pPr>
      <w:r>
        <w:separator/>
      </w:r>
    </w:p>
  </w:endnote>
  <w:endnote w:type="continuationSeparator" w:id="0">
    <w:p w14:paraId="3BD7C14B" w14:textId="77777777" w:rsidR="00A76F8D" w:rsidRDefault="00A76F8D" w:rsidP="00752D1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C0050" w14:textId="77777777" w:rsidR="00A76F8D" w:rsidRDefault="00A76F8D" w:rsidP="00752D1E">
      <w:pPr>
        <w:rPr>
          <w:rFonts w:hint="eastAsia"/>
        </w:rPr>
      </w:pPr>
      <w:r>
        <w:separator/>
      </w:r>
    </w:p>
  </w:footnote>
  <w:footnote w:type="continuationSeparator" w:id="0">
    <w:p w14:paraId="0DFA70F5" w14:textId="77777777" w:rsidR="00A76F8D" w:rsidRDefault="00A76F8D" w:rsidP="00752D1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020"/>
    <w:rsid w:val="002B3986"/>
    <w:rsid w:val="00752D1E"/>
    <w:rsid w:val="00790020"/>
    <w:rsid w:val="00A76F8D"/>
    <w:rsid w:val="00AC7E4B"/>
    <w:rsid w:val="00BD2FE7"/>
    <w:rsid w:val="00C04055"/>
    <w:rsid w:val="05E86F5D"/>
    <w:rsid w:val="16FA16C0"/>
    <w:rsid w:val="4CBC7AAB"/>
    <w:rsid w:val="5CAB10BB"/>
    <w:rsid w:val="67860601"/>
    <w:rsid w:val="76F32AF3"/>
    <w:rsid w:val="7CBC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A065CCD-3A6D-4DFF-B544-FA2AD88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TableText">
    <w:name w:val="Table Text"/>
    <w:basedOn w:val="a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 w:val="18"/>
      <w:szCs w:val="18"/>
      <w:lang w:eastAsia="en-US"/>
    </w:rPr>
  </w:style>
  <w:style w:type="paragraph" w:customStyle="1" w:styleId="ad">
    <w:name w:val="表格文字"/>
    <w:basedOn w:val="a"/>
    <w:qFormat/>
    <w:pPr>
      <w:widowControl/>
      <w:jc w:val="center"/>
    </w:pPr>
    <w:rPr>
      <w:rFonts w:ascii="Times New Roman" w:eastAsia="宋体" w:hAnsi="Times New Roman" w:cs="宋体"/>
      <w:bCs/>
      <w:color w:val="000000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/>
      <w:color w:val="000000"/>
      <w:sz w:val="34"/>
      <w:szCs w:val="34"/>
      <w:u w:val="none"/>
    </w:rPr>
  </w:style>
  <w:style w:type="paragraph" w:styleId="ae">
    <w:name w:val="header"/>
    <w:basedOn w:val="a"/>
    <w:link w:val="af"/>
    <w:uiPriority w:val="99"/>
    <w:unhideWhenUsed/>
    <w:rsid w:val="00752D1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52D1E"/>
    <w:rPr>
      <w:kern w:val="2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52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52D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547</Words>
  <Characters>591</Characters>
  <Application>Microsoft Office Word</Application>
  <DocSecurity>0</DocSecurity>
  <Lines>84</Lines>
  <Paragraphs>94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航 吴</dc:creator>
  <cp:lastModifiedBy>wd chen</cp:lastModifiedBy>
  <cp:revision>2</cp:revision>
  <dcterms:created xsi:type="dcterms:W3CDTF">2025-05-02T02:35:00Z</dcterms:created>
  <dcterms:modified xsi:type="dcterms:W3CDTF">2025-05-05T12:45:00Z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eyJoZGlkIjoiYmE5ZTMwYTZhOTIwZjlmNmIwODgzZWMxZmZmZmM5MDIiLCJ1c2VySWQiOiI5MjgwNTQyNDQifQ==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92EA39BDAEF1487EBF91B51418B28F5A_13</vt:lpwstr>
  </property>
</Properties>
</file>