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20DB0">
      <w:pPr>
        <w:jc w:val="center"/>
        <w:rPr>
          <w:rFonts w:hint="eastAsia" w:ascii="宋体" w:hAnsi="宋体" w:eastAsia="宋体"/>
          <w:b/>
          <w:szCs w:val="21"/>
        </w:rPr>
      </w:pPr>
      <w:r>
        <w:rPr>
          <w:rFonts w:hint="eastAsia" w:ascii="宋体" w:hAnsi="宋体" w:eastAsia="宋体"/>
          <w:b/>
          <w:szCs w:val="21"/>
          <w:lang w:val="en-US" w:eastAsia="zh-CN"/>
        </w:rPr>
        <w:t>市政</w:t>
      </w:r>
      <w:bookmarkStart w:id="0" w:name="_GoBack"/>
      <w:bookmarkEnd w:id="0"/>
      <w:r>
        <w:rPr>
          <w:rFonts w:hint="eastAsia" w:ascii="宋体" w:hAnsi="宋体" w:eastAsia="宋体"/>
          <w:b/>
          <w:szCs w:val="21"/>
        </w:rPr>
        <w:t>表B3  基坑工程评价评分表</w:t>
      </w:r>
    </w:p>
    <w:tbl>
      <w:tblPr>
        <w:tblStyle w:val="16"/>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229"/>
        <w:gridCol w:w="5286"/>
        <w:gridCol w:w="851"/>
        <w:gridCol w:w="850"/>
      </w:tblGrid>
      <w:tr w14:paraId="06F23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14:paraId="2359D73B">
            <w:pPr>
              <w:rPr>
                <w:rFonts w:hint="eastAsia" w:ascii="宋体" w:hAnsi="宋体" w:eastAsia="宋体"/>
                <w:szCs w:val="21"/>
              </w:rPr>
            </w:pPr>
            <w:r>
              <w:rPr>
                <w:rFonts w:hint="eastAsia" w:ascii="宋体" w:hAnsi="宋体" w:eastAsia="宋体"/>
                <w:szCs w:val="21"/>
              </w:rPr>
              <w:t>序号</w:t>
            </w:r>
          </w:p>
        </w:tc>
        <w:tc>
          <w:tcPr>
            <w:tcW w:w="1229" w:type="dxa"/>
            <w:tcBorders>
              <w:top w:val="single" w:color="auto" w:sz="4" w:space="0"/>
              <w:left w:val="single" w:color="auto" w:sz="4" w:space="0"/>
              <w:bottom w:val="single" w:color="auto" w:sz="4" w:space="0"/>
              <w:right w:val="single" w:color="auto" w:sz="4" w:space="0"/>
            </w:tcBorders>
            <w:vAlign w:val="center"/>
          </w:tcPr>
          <w:p w14:paraId="4ABC61F9">
            <w:pPr>
              <w:rPr>
                <w:rFonts w:hint="eastAsia" w:ascii="宋体" w:hAnsi="宋体" w:eastAsia="宋体"/>
                <w:szCs w:val="21"/>
              </w:rPr>
            </w:pPr>
            <w:r>
              <w:rPr>
                <w:rFonts w:hint="eastAsia" w:ascii="宋体" w:hAnsi="宋体" w:eastAsia="宋体"/>
                <w:szCs w:val="21"/>
              </w:rPr>
              <w:t>评价指标</w:t>
            </w:r>
          </w:p>
        </w:tc>
        <w:tc>
          <w:tcPr>
            <w:tcW w:w="5286" w:type="dxa"/>
            <w:tcBorders>
              <w:top w:val="single" w:color="auto" w:sz="4" w:space="0"/>
              <w:left w:val="single" w:color="auto" w:sz="4" w:space="0"/>
              <w:bottom w:val="single" w:color="auto" w:sz="4" w:space="0"/>
              <w:right w:val="single" w:color="auto" w:sz="4" w:space="0"/>
            </w:tcBorders>
            <w:vAlign w:val="center"/>
          </w:tcPr>
          <w:p w14:paraId="10EB438E">
            <w:pPr>
              <w:jc w:val="center"/>
              <w:rPr>
                <w:rFonts w:hint="eastAsia" w:ascii="宋体" w:hAnsi="宋体" w:eastAsia="宋体"/>
                <w:szCs w:val="21"/>
              </w:rPr>
            </w:pPr>
            <w:r>
              <w:rPr>
                <w:rFonts w:hint="eastAsia" w:ascii="宋体" w:hAnsi="宋体" w:eastAsia="宋体"/>
                <w:szCs w:val="21"/>
              </w:rPr>
              <w:t>标准要求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36CA875">
            <w:pPr>
              <w:rPr>
                <w:rFonts w:hint="eastAsia" w:ascii="宋体" w:hAnsi="宋体" w:eastAsia="宋体"/>
                <w:szCs w:val="21"/>
              </w:rPr>
            </w:pPr>
            <w:r>
              <w:rPr>
                <w:rFonts w:hint="eastAsia" w:ascii="宋体" w:hAnsi="宋体" w:eastAsia="宋体"/>
                <w:szCs w:val="21"/>
              </w:rPr>
              <w:t>评价结果</w:t>
            </w:r>
          </w:p>
        </w:tc>
      </w:tr>
      <w:tr w14:paraId="25886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restart"/>
            <w:tcBorders>
              <w:left w:val="single" w:color="auto" w:sz="4" w:space="0"/>
              <w:right w:val="single" w:color="auto" w:sz="4" w:space="0"/>
            </w:tcBorders>
            <w:vAlign w:val="center"/>
          </w:tcPr>
          <w:p w14:paraId="1B2232E9">
            <w:pPr>
              <w:rPr>
                <w:rFonts w:hint="eastAsia" w:ascii="宋体" w:hAnsi="宋体" w:eastAsia="宋体"/>
                <w:szCs w:val="21"/>
              </w:rPr>
            </w:pPr>
            <w:r>
              <w:rPr>
                <w:rFonts w:hint="eastAsia" w:ascii="宋体" w:hAnsi="宋体" w:eastAsia="宋体"/>
                <w:szCs w:val="21"/>
              </w:rPr>
              <w:t>1</w:t>
            </w:r>
          </w:p>
        </w:tc>
        <w:tc>
          <w:tcPr>
            <w:tcW w:w="1229" w:type="dxa"/>
            <w:vMerge w:val="restart"/>
            <w:tcBorders>
              <w:left w:val="single" w:color="auto" w:sz="4" w:space="0"/>
              <w:right w:val="single" w:color="auto" w:sz="4" w:space="0"/>
            </w:tcBorders>
            <w:vAlign w:val="center"/>
          </w:tcPr>
          <w:p w14:paraId="775B5171">
            <w:pPr>
              <w:rPr>
                <w:rFonts w:hint="eastAsia" w:ascii="宋体" w:hAnsi="宋体" w:eastAsia="宋体"/>
                <w:szCs w:val="21"/>
              </w:rPr>
            </w:pPr>
            <w:r>
              <w:rPr>
                <w:rFonts w:hint="eastAsia" w:ascii="宋体" w:hAnsi="宋体" w:eastAsia="宋体"/>
                <w:szCs w:val="21"/>
              </w:rPr>
              <w:t>控制项</w:t>
            </w:r>
          </w:p>
        </w:tc>
        <w:tc>
          <w:tcPr>
            <w:tcW w:w="5286" w:type="dxa"/>
            <w:tcBorders>
              <w:top w:val="single" w:color="auto" w:sz="4" w:space="0"/>
              <w:left w:val="single" w:color="auto" w:sz="4" w:space="0"/>
              <w:bottom w:val="single" w:color="auto" w:sz="4" w:space="0"/>
              <w:right w:val="single" w:color="auto" w:sz="4" w:space="0"/>
            </w:tcBorders>
            <w:vAlign w:val="center"/>
          </w:tcPr>
          <w:p w14:paraId="398A4267">
            <w:pPr>
              <w:rPr>
                <w:rFonts w:hint="eastAsia" w:ascii="宋体" w:hAnsi="宋体" w:eastAsia="宋体"/>
                <w:szCs w:val="21"/>
                <w:highlight w:val="none"/>
              </w:rPr>
            </w:pPr>
            <w:r>
              <w:rPr>
                <w:rFonts w:hint="eastAsia" w:ascii="宋体" w:hAnsi="宋体" w:eastAsia="宋体"/>
                <w:bCs/>
                <w:szCs w:val="21"/>
                <w:highlight w:val="none"/>
              </w:rPr>
              <w:t>危大工程应编制专项施工方案，专项施工方案不</w:t>
            </w:r>
            <w:r>
              <w:rPr>
                <w:rFonts w:hint="eastAsia" w:ascii="宋体" w:hAnsi="宋体" w:eastAsia="宋体"/>
                <w:bCs/>
                <w:szCs w:val="21"/>
                <w:highlight w:val="none"/>
                <w:lang w:val="en-US" w:eastAsia="zh-CN"/>
              </w:rPr>
              <w:t>应</w:t>
            </w:r>
            <w:r>
              <w:rPr>
                <w:rFonts w:hint="eastAsia" w:ascii="宋体" w:hAnsi="宋体" w:eastAsia="宋体"/>
                <w:bCs/>
                <w:szCs w:val="21"/>
                <w:highlight w:val="none"/>
              </w:rPr>
              <w:t>存在严重缺陷；超过一定规模应组织专家论证</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43D79C3">
            <w:pPr>
              <w:rPr>
                <w:rFonts w:hint="eastAsia" w:ascii="宋体" w:hAnsi="宋体" w:eastAsia="宋体"/>
                <w:szCs w:val="21"/>
              </w:rPr>
            </w:pPr>
            <w:r>
              <w:rPr>
                <w:rFonts w:hint="eastAsia" w:ascii="宋体" w:hAnsi="宋体" w:eastAsia="宋体"/>
                <w:szCs w:val="21"/>
              </w:rPr>
              <w:t>符合□不符合□</w:t>
            </w:r>
          </w:p>
        </w:tc>
      </w:tr>
      <w:tr w14:paraId="3D500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4C1A399C">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17E55388">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41CBA4E3">
            <w:pPr>
              <w:rPr>
                <w:rFonts w:hint="eastAsia" w:ascii="宋体" w:hAnsi="宋体" w:eastAsia="宋体"/>
                <w:szCs w:val="21"/>
              </w:rPr>
            </w:pPr>
            <w:r>
              <w:rPr>
                <w:rFonts w:hint="eastAsia" w:ascii="宋体" w:hAnsi="宋体" w:eastAsia="宋体"/>
                <w:szCs w:val="21"/>
              </w:rPr>
              <w:t>专项施工方案按规定审核、审批</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A3E0BF9">
            <w:pPr>
              <w:rPr>
                <w:rFonts w:hint="eastAsia" w:ascii="宋体" w:hAnsi="宋体" w:eastAsia="宋体"/>
                <w:szCs w:val="21"/>
              </w:rPr>
            </w:pPr>
            <w:r>
              <w:rPr>
                <w:rFonts w:hint="eastAsia" w:ascii="宋体" w:hAnsi="宋体" w:eastAsia="宋体"/>
                <w:szCs w:val="21"/>
              </w:rPr>
              <w:t>符合□不符合□</w:t>
            </w:r>
          </w:p>
        </w:tc>
      </w:tr>
      <w:tr w14:paraId="3D92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66800EF1">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5EFACA47">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57E0910C">
            <w:pPr>
              <w:rPr>
                <w:rFonts w:hint="eastAsia" w:ascii="宋体" w:hAnsi="宋体" w:eastAsia="宋体"/>
                <w:szCs w:val="21"/>
              </w:rPr>
            </w:pPr>
            <w:r>
              <w:rPr>
                <w:rFonts w:hint="eastAsia" w:ascii="宋体" w:hAnsi="宋体" w:eastAsia="宋体"/>
                <w:szCs w:val="21"/>
              </w:rPr>
              <w:t>基坑周边环境或施工条件发生变化，专项施工方案重新进行审核、审批</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A8D93EB">
            <w:pPr>
              <w:rPr>
                <w:rFonts w:hint="eastAsia" w:ascii="宋体" w:hAnsi="宋体" w:eastAsia="宋体"/>
                <w:szCs w:val="21"/>
              </w:rPr>
            </w:pPr>
            <w:r>
              <w:rPr>
                <w:rFonts w:hint="eastAsia" w:ascii="宋体" w:hAnsi="宋体" w:eastAsia="宋体"/>
                <w:szCs w:val="21"/>
              </w:rPr>
              <w:t>符合□不符合□</w:t>
            </w:r>
          </w:p>
        </w:tc>
      </w:tr>
      <w:tr w14:paraId="4483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4B049577">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6F5A5565">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2253058A">
            <w:pPr>
              <w:rPr>
                <w:rFonts w:hint="eastAsia" w:ascii="宋体" w:hAnsi="宋体" w:eastAsia="宋体"/>
                <w:szCs w:val="21"/>
              </w:rPr>
            </w:pPr>
            <w:r>
              <w:rPr>
                <w:rFonts w:hint="eastAsia" w:ascii="宋体" w:hAnsi="宋体" w:eastAsia="宋体"/>
                <w:szCs w:val="21"/>
              </w:rPr>
              <w:t>人工开挖的狭窄基槽，开挖深度较大并存在边坡塌方危险应采取支护措施</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28B31F90">
            <w:pPr>
              <w:rPr>
                <w:rFonts w:hint="eastAsia" w:ascii="宋体" w:hAnsi="宋体" w:eastAsia="宋体"/>
                <w:szCs w:val="21"/>
              </w:rPr>
            </w:pPr>
            <w:r>
              <w:rPr>
                <w:rFonts w:hint="eastAsia" w:ascii="宋体" w:hAnsi="宋体" w:eastAsia="宋体"/>
                <w:szCs w:val="21"/>
              </w:rPr>
              <w:t>符合□不符合□</w:t>
            </w:r>
          </w:p>
        </w:tc>
      </w:tr>
      <w:tr w14:paraId="784B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1FF650B4">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03857F89">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07074FC5">
            <w:pPr>
              <w:rPr>
                <w:rFonts w:hint="eastAsia" w:ascii="宋体" w:hAnsi="宋体" w:eastAsia="宋体"/>
                <w:szCs w:val="21"/>
              </w:rPr>
            </w:pPr>
            <w:r>
              <w:rPr>
                <w:rFonts w:hint="eastAsia" w:ascii="宋体" w:hAnsi="宋体" w:eastAsia="宋体"/>
                <w:szCs w:val="21"/>
              </w:rPr>
              <w:t>自然放坡的坡率应符合专项施工方案和规范要求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9F8F43E">
            <w:pPr>
              <w:rPr>
                <w:rFonts w:hint="eastAsia" w:ascii="宋体" w:hAnsi="宋体" w:eastAsia="宋体"/>
                <w:szCs w:val="21"/>
              </w:rPr>
            </w:pPr>
            <w:r>
              <w:rPr>
                <w:rFonts w:hint="eastAsia" w:ascii="宋体" w:hAnsi="宋体" w:eastAsia="宋体"/>
                <w:szCs w:val="21"/>
              </w:rPr>
              <w:t>符合□不符合□</w:t>
            </w:r>
          </w:p>
        </w:tc>
      </w:tr>
      <w:tr w14:paraId="7E401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5" w:type="dxa"/>
            <w:vMerge w:val="continue"/>
            <w:tcBorders>
              <w:left w:val="single" w:color="auto" w:sz="4" w:space="0"/>
              <w:right w:val="single" w:color="auto" w:sz="4" w:space="0"/>
            </w:tcBorders>
            <w:vAlign w:val="center"/>
          </w:tcPr>
          <w:p w14:paraId="070BE67D">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5933321F">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69333D9F">
            <w:pPr>
              <w:rPr>
                <w:rFonts w:hint="eastAsia" w:ascii="宋体" w:hAnsi="宋体" w:eastAsia="宋体"/>
                <w:szCs w:val="21"/>
              </w:rPr>
            </w:pPr>
            <w:r>
              <w:rPr>
                <w:rFonts w:hint="eastAsia" w:ascii="宋体" w:hAnsi="宋体" w:eastAsia="宋体"/>
                <w:szCs w:val="21"/>
              </w:rPr>
              <w:t>基坑支护结构应符合设计要求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2183EBE">
            <w:pPr>
              <w:rPr>
                <w:rFonts w:hint="eastAsia" w:ascii="宋体" w:hAnsi="宋体" w:eastAsia="宋体"/>
                <w:szCs w:val="21"/>
              </w:rPr>
            </w:pPr>
            <w:r>
              <w:rPr>
                <w:rFonts w:hint="eastAsia" w:ascii="宋体" w:hAnsi="宋体" w:eastAsia="宋体"/>
                <w:szCs w:val="21"/>
              </w:rPr>
              <w:t>符合□不符合□</w:t>
            </w:r>
          </w:p>
        </w:tc>
      </w:tr>
      <w:tr w14:paraId="6B88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vMerge w:val="continue"/>
            <w:tcBorders>
              <w:left w:val="single" w:color="auto" w:sz="4" w:space="0"/>
              <w:right w:val="single" w:color="auto" w:sz="4" w:space="0"/>
            </w:tcBorders>
            <w:vAlign w:val="center"/>
          </w:tcPr>
          <w:p w14:paraId="171E00F4">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7A347BDF">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12A84F19">
            <w:pPr>
              <w:rPr>
                <w:rFonts w:hint="eastAsia" w:ascii="宋体" w:hAnsi="宋体" w:eastAsia="宋体"/>
                <w:szCs w:val="21"/>
              </w:rPr>
            </w:pPr>
            <w:r>
              <w:rPr>
                <w:rFonts w:hint="eastAsia" w:ascii="宋体" w:hAnsi="宋体" w:eastAsia="宋体"/>
                <w:szCs w:val="21"/>
              </w:rPr>
              <w:t>基坑支护结构水平位移达到设计报警值应采取有效控制措施</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3D5EC9F">
            <w:pPr>
              <w:rPr>
                <w:rFonts w:hint="eastAsia" w:ascii="宋体" w:hAnsi="宋体" w:eastAsia="宋体"/>
                <w:szCs w:val="21"/>
              </w:rPr>
            </w:pPr>
            <w:r>
              <w:rPr>
                <w:rFonts w:hint="eastAsia" w:ascii="宋体" w:hAnsi="宋体" w:eastAsia="宋体"/>
                <w:szCs w:val="21"/>
              </w:rPr>
              <w:t>符合□不符合□</w:t>
            </w:r>
          </w:p>
        </w:tc>
      </w:tr>
      <w:tr w14:paraId="3EFE5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27EAADE1">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564D81F5">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1D8EA1BF">
            <w:pPr>
              <w:rPr>
                <w:rFonts w:hint="eastAsia" w:ascii="宋体" w:hAnsi="宋体" w:eastAsia="宋体"/>
                <w:szCs w:val="21"/>
              </w:rPr>
            </w:pPr>
            <w:r>
              <w:rPr>
                <w:rFonts w:hint="eastAsia" w:ascii="宋体" w:hAnsi="宋体" w:eastAsia="宋体"/>
                <w:szCs w:val="21"/>
              </w:rPr>
              <w:t>基坑开挖深度范围内有地下水应采取有效的降排水措施</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D32B426">
            <w:pPr>
              <w:rPr>
                <w:rFonts w:hint="eastAsia" w:ascii="宋体" w:hAnsi="宋体" w:eastAsia="宋体"/>
                <w:szCs w:val="21"/>
              </w:rPr>
            </w:pPr>
            <w:r>
              <w:rPr>
                <w:rFonts w:hint="eastAsia" w:ascii="宋体" w:hAnsi="宋体" w:eastAsia="宋体"/>
                <w:szCs w:val="21"/>
              </w:rPr>
              <w:t>符合□不符合□</w:t>
            </w:r>
          </w:p>
        </w:tc>
      </w:tr>
      <w:tr w14:paraId="4C042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4008B992">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24505783">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425888D0">
            <w:pPr>
              <w:rPr>
                <w:rFonts w:hint="eastAsia" w:ascii="宋体" w:hAnsi="宋体" w:eastAsia="宋体"/>
                <w:szCs w:val="21"/>
              </w:rPr>
            </w:pPr>
            <w:r>
              <w:rPr>
                <w:rFonts w:hint="eastAsia" w:ascii="宋体" w:hAnsi="宋体" w:eastAsia="宋体"/>
                <w:szCs w:val="21"/>
              </w:rPr>
              <w:t>支护结构应在达到设计要求的强度后再开挖下层土方</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DC994DA">
            <w:pPr>
              <w:rPr>
                <w:rFonts w:hint="eastAsia" w:ascii="宋体" w:hAnsi="宋体" w:eastAsia="宋体"/>
                <w:szCs w:val="21"/>
              </w:rPr>
            </w:pPr>
            <w:r>
              <w:rPr>
                <w:rFonts w:hint="eastAsia" w:ascii="宋体" w:hAnsi="宋体" w:eastAsia="宋体"/>
                <w:szCs w:val="21"/>
              </w:rPr>
              <w:t>符合□不符合□</w:t>
            </w:r>
          </w:p>
        </w:tc>
      </w:tr>
      <w:tr w14:paraId="1D6D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5CE0C283">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0CE6EE7D">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40E6D755">
            <w:pPr>
              <w:rPr>
                <w:rFonts w:hint="eastAsia" w:ascii="宋体" w:hAnsi="宋体" w:eastAsia="宋体"/>
                <w:szCs w:val="21"/>
              </w:rPr>
            </w:pPr>
            <w:r>
              <w:rPr>
                <w:rFonts w:hint="eastAsia" w:ascii="宋体" w:hAnsi="宋体" w:eastAsia="宋体"/>
                <w:szCs w:val="21"/>
              </w:rPr>
              <w:t>按设计和施工方案的要求分层、分段开挖且开挖均衡</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BC0A3E">
            <w:pPr>
              <w:rPr>
                <w:rFonts w:hint="eastAsia" w:ascii="宋体" w:hAnsi="宋体" w:eastAsia="宋体"/>
                <w:szCs w:val="21"/>
              </w:rPr>
            </w:pPr>
            <w:r>
              <w:rPr>
                <w:rFonts w:hint="eastAsia" w:ascii="宋体" w:hAnsi="宋体" w:eastAsia="宋体"/>
                <w:szCs w:val="21"/>
              </w:rPr>
              <w:t>符合□不符合□</w:t>
            </w:r>
          </w:p>
        </w:tc>
      </w:tr>
      <w:tr w14:paraId="69320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39F7AF6C">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6F4F8E43">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37AF665A">
            <w:pPr>
              <w:rPr>
                <w:rFonts w:hint="eastAsia" w:ascii="宋体" w:hAnsi="宋体" w:eastAsia="宋体"/>
                <w:szCs w:val="21"/>
              </w:rPr>
            </w:pPr>
            <w:r>
              <w:rPr>
                <w:rFonts w:hint="eastAsia" w:ascii="宋体" w:hAnsi="宋体" w:eastAsia="宋体"/>
                <w:szCs w:val="21"/>
              </w:rPr>
              <w:t>基坑开挖过程中应采取有效措施防止碰撞支护结构、降水设施、工程桩或扰动基底原状土土层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DE0C9BB">
            <w:pPr>
              <w:rPr>
                <w:rFonts w:hint="eastAsia" w:ascii="宋体" w:hAnsi="宋体" w:eastAsia="宋体"/>
                <w:szCs w:val="21"/>
              </w:rPr>
            </w:pPr>
            <w:r>
              <w:rPr>
                <w:rFonts w:hint="eastAsia" w:ascii="宋体" w:hAnsi="宋体" w:eastAsia="宋体"/>
                <w:szCs w:val="21"/>
              </w:rPr>
              <w:t>符合□不符合□</w:t>
            </w:r>
          </w:p>
        </w:tc>
      </w:tr>
      <w:tr w14:paraId="300C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44E676D5">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757A6030">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4D058599">
            <w:pPr>
              <w:rPr>
                <w:rFonts w:hint="eastAsia" w:ascii="宋体" w:hAnsi="宋体" w:eastAsia="宋体"/>
                <w:szCs w:val="21"/>
              </w:rPr>
            </w:pPr>
            <w:r>
              <w:rPr>
                <w:rFonts w:hint="eastAsia" w:ascii="宋体" w:hAnsi="宋体" w:eastAsia="宋体"/>
                <w:szCs w:val="21"/>
              </w:rPr>
              <w:t>机械在软土场地作业，采取铺设渣土、砂石等硬化措施</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42EA11">
            <w:pPr>
              <w:rPr>
                <w:rFonts w:hint="eastAsia" w:ascii="宋体" w:hAnsi="宋体" w:eastAsia="宋体"/>
                <w:szCs w:val="21"/>
              </w:rPr>
            </w:pPr>
            <w:r>
              <w:rPr>
                <w:rFonts w:hint="eastAsia" w:ascii="宋体" w:hAnsi="宋体" w:eastAsia="宋体"/>
                <w:szCs w:val="21"/>
              </w:rPr>
              <w:t>符合□不符合□</w:t>
            </w:r>
          </w:p>
        </w:tc>
      </w:tr>
      <w:tr w14:paraId="5C3B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0A6D3FC1">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69CFCF7B">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shd w:val="clear" w:color="auto" w:fill="auto"/>
            <w:vAlign w:val="center"/>
          </w:tcPr>
          <w:p w14:paraId="523FB63E">
            <w:pPr>
              <w:rPr>
                <w:rFonts w:hint="eastAsia" w:ascii="宋体" w:hAnsi="宋体" w:eastAsia="宋体"/>
                <w:szCs w:val="21"/>
              </w:rPr>
            </w:pPr>
            <w:r>
              <w:rPr>
                <w:rFonts w:hint="eastAsia" w:ascii="宋体" w:hAnsi="宋体" w:eastAsia="宋体"/>
                <w:szCs w:val="21"/>
              </w:rPr>
              <w:t>基坑、边坡土方超挖应采取有效措施；</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B8CCE2">
            <w:pPr>
              <w:rPr>
                <w:rFonts w:hint="eastAsia" w:ascii="宋体" w:hAnsi="宋体" w:eastAsia="宋体"/>
                <w:szCs w:val="21"/>
              </w:rPr>
            </w:pPr>
            <w:r>
              <w:rPr>
                <w:rFonts w:hint="eastAsia" w:ascii="宋体" w:hAnsi="宋体" w:eastAsia="宋体"/>
                <w:szCs w:val="21"/>
              </w:rPr>
              <w:t>符合□不符合□</w:t>
            </w:r>
          </w:p>
        </w:tc>
      </w:tr>
      <w:tr w14:paraId="4B7D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22F3311D">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0264D79C">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4E493649">
            <w:pPr>
              <w:rPr>
                <w:rFonts w:hint="eastAsia" w:ascii="宋体" w:hAnsi="宋体" w:eastAsia="宋体"/>
                <w:szCs w:val="21"/>
              </w:rPr>
            </w:pPr>
            <w:r>
              <w:rPr>
                <w:rFonts w:hint="eastAsia" w:ascii="宋体" w:hAnsi="宋体" w:eastAsia="宋体"/>
                <w:szCs w:val="21"/>
              </w:rPr>
              <w:t>边坡及基坑周边堆放材料、停放设备设施或使用机械设备等荷载不应超过设计要求的地面荷载限值</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3BDDEB5">
            <w:pPr>
              <w:rPr>
                <w:rFonts w:hint="eastAsia" w:ascii="宋体" w:hAnsi="宋体" w:eastAsia="宋体"/>
                <w:szCs w:val="21"/>
              </w:rPr>
            </w:pPr>
            <w:r>
              <w:rPr>
                <w:rFonts w:hint="eastAsia" w:ascii="宋体" w:hAnsi="宋体" w:eastAsia="宋体"/>
                <w:szCs w:val="21"/>
              </w:rPr>
              <w:t>符合□不符合□</w:t>
            </w:r>
          </w:p>
        </w:tc>
      </w:tr>
      <w:tr w14:paraId="1A29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063F8341">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5322CA19">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6D5DEC01">
            <w:pPr>
              <w:rPr>
                <w:rFonts w:hint="eastAsia" w:ascii="宋体" w:hAnsi="宋体" w:eastAsia="宋体"/>
                <w:szCs w:val="21"/>
              </w:rPr>
            </w:pPr>
            <w:r>
              <w:rPr>
                <w:rFonts w:hint="eastAsia" w:ascii="宋体" w:hAnsi="宋体" w:eastAsia="宋体"/>
                <w:szCs w:val="21"/>
              </w:rPr>
              <w:t>施工机械与基坑边沿的安全距离应符合设计要求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A3696F4">
            <w:pPr>
              <w:rPr>
                <w:rFonts w:hint="eastAsia" w:ascii="宋体" w:hAnsi="宋体" w:eastAsia="宋体"/>
                <w:szCs w:val="21"/>
              </w:rPr>
            </w:pPr>
            <w:r>
              <w:rPr>
                <w:rFonts w:hint="eastAsia" w:ascii="宋体" w:hAnsi="宋体" w:eastAsia="宋体"/>
                <w:szCs w:val="21"/>
              </w:rPr>
              <w:t>符合□不符合□</w:t>
            </w:r>
          </w:p>
        </w:tc>
      </w:tr>
      <w:tr w14:paraId="293C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7AE95611">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482A4A2D">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7373D1B4">
            <w:pPr>
              <w:rPr>
                <w:rFonts w:hint="eastAsia" w:ascii="宋体" w:hAnsi="宋体" w:eastAsia="宋体"/>
                <w:szCs w:val="21"/>
              </w:rPr>
            </w:pPr>
            <w:r>
              <w:rPr>
                <w:rFonts w:hint="eastAsia" w:ascii="宋体" w:hAnsi="宋体" w:eastAsia="宋体"/>
                <w:szCs w:val="21"/>
              </w:rPr>
              <w:t>降水井口应设置防护盖板或围栏，应设置明显的警示标志，降水完成后，应及时将井填实</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1F8DD05">
            <w:pPr>
              <w:rPr>
                <w:rFonts w:hint="eastAsia" w:ascii="宋体" w:hAnsi="宋体" w:eastAsia="宋体"/>
                <w:szCs w:val="21"/>
              </w:rPr>
            </w:pPr>
            <w:r>
              <w:rPr>
                <w:rFonts w:hint="eastAsia" w:ascii="宋体" w:hAnsi="宋体" w:eastAsia="宋体"/>
                <w:szCs w:val="21"/>
              </w:rPr>
              <w:t>符合□不符合□</w:t>
            </w:r>
          </w:p>
        </w:tc>
      </w:tr>
      <w:tr w14:paraId="36EB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0C3435B2">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060569A4">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68B4F8C7">
            <w:pPr>
              <w:rPr>
                <w:rFonts w:hint="eastAsia" w:ascii="宋体" w:hAnsi="宋体" w:eastAsia="宋体"/>
                <w:szCs w:val="21"/>
              </w:rPr>
            </w:pPr>
            <w:r>
              <w:rPr>
                <w:rFonts w:hint="eastAsia" w:ascii="宋体" w:hAnsi="宋体" w:eastAsia="宋体"/>
                <w:szCs w:val="21"/>
              </w:rPr>
              <w:t>支撑拆除方式应符合国家现行相关规范要求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0B9472">
            <w:pPr>
              <w:rPr>
                <w:rFonts w:hint="eastAsia" w:ascii="宋体" w:hAnsi="宋体" w:eastAsia="宋体"/>
                <w:szCs w:val="21"/>
              </w:rPr>
            </w:pPr>
            <w:r>
              <w:rPr>
                <w:rFonts w:hint="eastAsia" w:ascii="宋体" w:hAnsi="宋体" w:eastAsia="宋体"/>
                <w:szCs w:val="21"/>
              </w:rPr>
              <w:t>符合□不符合□</w:t>
            </w:r>
          </w:p>
        </w:tc>
      </w:tr>
      <w:tr w14:paraId="415C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749FB37F">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48C6051C">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708FE0EA">
            <w:pPr>
              <w:rPr>
                <w:rFonts w:hint="eastAsia" w:ascii="宋体" w:hAnsi="宋体" w:eastAsia="宋体"/>
                <w:szCs w:val="21"/>
              </w:rPr>
            </w:pPr>
            <w:r>
              <w:rPr>
                <w:rFonts w:hint="eastAsia" w:ascii="宋体" w:hAnsi="宋体" w:eastAsia="宋体"/>
                <w:szCs w:val="21"/>
              </w:rPr>
              <w:t>基坑内土方机械、施工人员的安全距离应符合规范要求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BF4F41">
            <w:pPr>
              <w:rPr>
                <w:rFonts w:hint="eastAsia" w:ascii="宋体" w:hAnsi="宋体" w:eastAsia="宋体"/>
                <w:szCs w:val="21"/>
              </w:rPr>
            </w:pPr>
            <w:r>
              <w:rPr>
                <w:rFonts w:hint="eastAsia" w:ascii="宋体" w:hAnsi="宋体" w:eastAsia="宋体"/>
                <w:szCs w:val="21"/>
              </w:rPr>
              <w:t>符合□不符合□</w:t>
            </w:r>
          </w:p>
        </w:tc>
      </w:tr>
      <w:tr w14:paraId="5CD3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021E8AF1">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3E992D8C">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038AC71B">
            <w:pPr>
              <w:rPr>
                <w:rFonts w:hint="eastAsia" w:ascii="宋体" w:hAnsi="宋体" w:eastAsia="宋体"/>
                <w:szCs w:val="21"/>
              </w:rPr>
            </w:pPr>
            <w:r>
              <w:rPr>
                <w:rFonts w:hint="eastAsia" w:ascii="宋体" w:hAnsi="宋体" w:eastAsia="宋体"/>
                <w:szCs w:val="21"/>
              </w:rPr>
              <w:t>深基坑、高边坡（一级、二级）施工应进行第三方监测</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E968752">
            <w:pPr>
              <w:rPr>
                <w:rFonts w:hint="eastAsia" w:ascii="宋体" w:hAnsi="宋体" w:eastAsia="宋体"/>
                <w:szCs w:val="21"/>
              </w:rPr>
            </w:pPr>
            <w:r>
              <w:rPr>
                <w:rFonts w:hint="eastAsia" w:ascii="宋体" w:hAnsi="宋体" w:eastAsia="宋体"/>
                <w:szCs w:val="21"/>
              </w:rPr>
              <w:t>符合□不符合□</w:t>
            </w:r>
          </w:p>
        </w:tc>
      </w:tr>
      <w:tr w14:paraId="5CFD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20117637">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59701864">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003B4199">
            <w:pPr>
              <w:rPr>
                <w:rFonts w:hint="eastAsia" w:ascii="宋体" w:hAnsi="宋体" w:eastAsia="宋体"/>
                <w:szCs w:val="21"/>
              </w:rPr>
            </w:pPr>
            <w:r>
              <w:rPr>
                <w:rFonts w:hint="eastAsia" w:ascii="宋体" w:hAnsi="宋体" w:eastAsia="宋体"/>
                <w:szCs w:val="21"/>
              </w:rPr>
              <w:t>机械拆除作业时，施工荷载应小于支撑结构承载能力</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E088E70">
            <w:pPr>
              <w:rPr>
                <w:rFonts w:hint="eastAsia" w:ascii="宋体" w:hAnsi="宋体" w:eastAsia="宋体"/>
                <w:szCs w:val="21"/>
              </w:rPr>
            </w:pPr>
            <w:r>
              <w:rPr>
                <w:rFonts w:hint="eastAsia" w:ascii="宋体" w:hAnsi="宋体" w:eastAsia="宋体"/>
                <w:szCs w:val="21"/>
              </w:rPr>
              <w:t>符合□不符合□</w:t>
            </w:r>
          </w:p>
        </w:tc>
      </w:tr>
      <w:tr w14:paraId="0813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6D9382B9">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263942ED">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0C5B68F5">
            <w:pPr>
              <w:rPr>
                <w:rFonts w:hint="eastAsia" w:ascii="宋体" w:hAnsi="宋体" w:eastAsia="宋体"/>
                <w:szCs w:val="21"/>
              </w:rPr>
            </w:pPr>
            <w:r>
              <w:rPr>
                <w:rFonts w:hint="eastAsia" w:ascii="宋体" w:hAnsi="宋体" w:eastAsia="宋体"/>
                <w:szCs w:val="21"/>
              </w:rPr>
              <w:t>采用非常规拆除方式应符合国家现行相关规范要求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C929199">
            <w:pPr>
              <w:rPr>
                <w:rFonts w:hint="eastAsia" w:ascii="宋体" w:hAnsi="宋体" w:eastAsia="宋体"/>
                <w:szCs w:val="21"/>
              </w:rPr>
            </w:pPr>
            <w:r>
              <w:rPr>
                <w:rFonts w:hint="eastAsia" w:ascii="宋体" w:hAnsi="宋体" w:eastAsia="宋体"/>
                <w:szCs w:val="21"/>
              </w:rPr>
              <w:t>符合□不符合□</w:t>
            </w:r>
          </w:p>
        </w:tc>
      </w:tr>
      <w:tr w14:paraId="5B67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4F86D6D0">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5953AE77">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2092F188">
            <w:pPr>
              <w:rPr>
                <w:rFonts w:hint="eastAsia" w:ascii="宋体" w:hAnsi="宋体" w:eastAsia="宋体"/>
                <w:szCs w:val="21"/>
              </w:rPr>
            </w:pPr>
            <w:r>
              <w:rPr>
                <w:rFonts w:hint="eastAsia" w:ascii="宋体" w:hAnsi="宋体" w:eastAsia="宋体"/>
                <w:szCs w:val="21"/>
              </w:rPr>
              <w:t>施工企业应具有相应的资质和安全生产许可证，未超范围从事基坑工程施工</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A80DB60">
            <w:pPr>
              <w:rPr>
                <w:rFonts w:hint="eastAsia" w:ascii="宋体" w:hAnsi="宋体" w:eastAsia="宋体"/>
                <w:szCs w:val="21"/>
              </w:rPr>
            </w:pPr>
            <w:r>
              <w:rPr>
                <w:rFonts w:hint="eastAsia" w:ascii="宋体" w:hAnsi="宋体" w:eastAsia="宋体"/>
                <w:szCs w:val="21"/>
              </w:rPr>
              <w:t>符合□不符合□</w:t>
            </w:r>
          </w:p>
        </w:tc>
      </w:tr>
      <w:tr w14:paraId="3FA73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7D4DA975">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26038160">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shd w:val="clear" w:color="auto" w:fill="auto"/>
            <w:vAlign w:val="center"/>
          </w:tcPr>
          <w:p w14:paraId="2E4D75E6">
            <w:pPr>
              <w:rPr>
                <w:rFonts w:hint="eastAsia" w:ascii="宋体" w:hAnsi="宋体" w:eastAsia="宋体"/>
                <w:szCs w:val="21"/>
              </w:rPr>
            </w:pPr>
            <w:r>
              <w:rPr>
                <w:rFonts w:hint="eastAsia" w:ascii="宋体" w:hAnsi="宋体" w:eastAsia="宋体"/>
                <w:szCs w:val="21"/>
              </w:rPr>
              <w:t>危大工程须验收合格后才能进行下一道工序</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3FA8A6">
            <w:pPr>
              <w:rPr>
                <w:rFonts w:hint="eastAsia" w:ascii="宋体" w:hAnsi="宋体" w:eastAsia="宋体"/>
                <w:szCs w:val="21"/>
              </w:rPr>
            </w:pPr>
            <w:r>
              <w:rPr>
                <w:rFonts w:hint="eastAsia" w:ascii="宋体" w:hAnsi="宋体" w:eastAsia="宋体"/>
                <w:szCs w:val="21"/>
              </w:rPr>
              <w:t>符合□不符合□</w:t>
            </w:r>
          </w:p>
        </w:tc>
      </w:tr>
      <w:tr w14:paraId="4A5B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14:paraId="785C3761">
            <w:pPr>
              <w:rPr>
                <w:rFonts w:hint="eastAsia" w:ascii="宋体" w:hAnsi="宋体" w:eastAsia="宋体"/>
                <w:szCs w:val="21"/>
              </w:rPr>
            </w:pPr>
          </w:p>
        </w:tc>
        <w:tc>
          <w:tcPr>
            <w:tcW w:w="1229" w:type="dxa"/>
            <w:vMerge w:val="continue"/>
            <w:tcBorders>
              <w:left w:val="single" w:color="auto" w:sz="4" w:space="0"/>
              <w:right w:val="single" w:color="auto" w:sz="4" w:space="0"/>
            </w:tcBorders>
            <w:vAlign w:val="center"/>
          </w:tcPr>
          <w:p w14:paraId="50CCC621">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5C8F75DD">
            <w:pPr>
              <w:rPr>
                <w:rFonts w:hint="eastAsia" w:ascii="宋体" w:hAnsi="宋体" w:eastAsia="宋体"/>
                <w:szCs w:val="21"/>
              </w:rPr>
            </w:pPr>
            <w:r>
              <w:rPr>
                <w:rFonts w:hint="eastAsia" w:ascii="宋体" w:hAnsi="宋体" w:eastAsia="宋体"/>
                <w:szCs w:val="21"/>
              </w:rPr>
              <w:t>基坑、边坡无坍塌风险预兆</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AAC3F93">
            <w:pPr>
              <w:rPr>
                <w:rFonts w:hint="eastAsia" w:ascii="宋体" w:hAnsi="宋体" w:eastAsia="宋体"/>
                <w:szCs w:val="21"/>
              </w:rPr>
            </w:pPr>
            <w:r>
              <w:rPr>
                <w:rFonts w:hint="eastAsia" w:ascii="宋体" w:hAnsi="宋体" w:eastAsia="宋体"/>
                <w:szCs w:val="21"/>
              </w:rPr>
              <w:t>符合□不符合□</w:t>
            </w:r>
          </w:p>
        </w:tc>
      </w:tr>
      <w:tr w14:paraId="0CBC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bottom w:val="single" w:color="auto" w:sz="4" w:space="0"/>
              <w:right w:val="single" w:color="auto" w:sz="4" w:space="0"/>
            </w:tcBorders>
            <w:vAlign w:val="center"/>
          </w:tcPr>
          <w:p w14:paraId="78E4D5B9">
            <w:pPr>
              <w:rPr>
                <w:rFonts w:hint="eastAsia" w:ascii="宋体" w:hAnsi="宋体" w:eastAsia="宋体"/>
                <w:szCs w:val="21"/>
              </w:rPr>
            </w:pPr>
          </w:p>
        </w:tc>
        <w:tc>
          <w:tcPr>
            <w:tcW w:w="1229" w:type="dxa"/>
            <w:vMerge w:val="continue"/>
            <w:tcBorders>
              <w:left w:val="single" w:color="auto" w:sz="4" w:space="0"/>
              <w:bottom w:val="single" w:color="auto" w:sz="4" w:space="0"/>
              <w:right w:val="single" w:color="auto" w:sz="4" w:space="0"/>
            </w:tcBorders>
            <w:vAlign w:val="center"/>
          </w:tcPr>
          <w:p w14:paraId="1442BA7D">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shd w:val="clear" w:color="auto" w:fill="auto"/>
            <w:vAlign w:val="center"/>
          </w:tcPr>
          <w:p w14:paraId="54364133">
            <w:pPr>
              <w:rPr>
                <w:rFonts w:hint="eastAsia" w:ascii="宋体" w:hAnsi="宋体" w:eastAsia="宋体"/>
                <w:szCs w:val="21"/>
              </w:rPr>
            </w:pPr>
            <w:r>
              <w:rPr>
                <w:rFonts w:hint="eastAsia" w:ascii="宋体" w:hAnsi="宋体" w:eastAsia="宋体"/>
                <w:szCs w:val="21"/>
              </w:rPr>
              <w:t>对因基坑、边坡工程施工可能造成损害的毗邻建筑物、构筑物和地下管线等，应采取专项防护措施</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A59289">
            <w:pPr>
              <w:rPr>
                <w:rFonts w:hint="eastAsia" w:ascii="宋体" w:hAnsi="宋体" w:eastAsia="宋体"/>
                <w:szCs w:val="21"/>
              </w:rPr>
            </w:pPr>
            <w:r>
              <w:rPr>
                <w:rFonts w:hint="eastAsia" w:ascii="宋体" w:hAnsi="宋体" w:eastAsia="宋体"/>
                <w:szCs w:val="21"/>
              </w:rPr>
              <w:t>符合□不符合□</w:t>
            </w:r>
          </w:p>
        </w:tc>
      </w:tr>
      <w:tr w14:paraId="48F3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vMerge w:val="restart"/>
            <w:tcBorders>
              <w:top w:val="nil"/>
              <w:left w:val="single" w:color="auto" w:sz="4" w:space="0"/>
              <w:bottom w:val="single" w:color="auto" w:sz="4" w:space="0"/>
              <w:right w:val="single" w:color="auto" w:sz="4" w:space="0"/>
            </w:tcBorders>
            <w:vAlign w:val="center"/>
          </w:tcPr>
          <w:p w14:paraId="15C9FC1C">
            <w:pPr>
              <w:rPr>
                <w:rFonts w:hint="eastAsia" w:ascii="宋体" w:hAnsi="宋体" w:eastAsia="宋体"/>
                <w:szCs w:val="21"/>
              </w:rPr>
            </w:pPr>
            <w:r>
              <w:rPr>
                <w:rFonts w:hint="eastAsia" w:ascii="宋体" w:hAnsi="宋体" w:eastAsia="宋体"/>
                <w:szCs w:val="21"/>
              </w:rPr>
              <w:t>序号</w:t>
            </w:r>
          </w:p>
        </w:tc>
        <w:tc>
          <w:tcPr>
            <w:tcW w:w="1229" w:type="dxa"/>
            <w:vMerge w:val="restart"/>
            <w:tcBorders>
              <w:top w:val="nil"/>
              <w:left w:val="single" w:color="auto" w:sz="4" w:space="0"/>
              <w:bottom w:val="single" w:color="auto" w:sz="4" w:space="0"/>
              <w:right w:val="single" w:color="auto" w:sz="4" w:space="0"/>
            </w:tcBorders>
            <w:vAlign w:val="center"/>
          </w:tcPr>
          <w:p w14:paraId="3D84B45D">
            <w:pPr>
              <w:rPr>
                <w:rFonts w:hint="eastAsia" w:ascii="宋体" w:hAnsi="宋体" w:eastAsia="宋体"/>
                <w:szCs w:val="21"/>
              </w:rPr>
            </w:pPr>
            <w:r>
              <w:rPr>
                <w:rFonts w:hint="eastAsia" w:ascii="宋体" w:hAnsi="宋体" w:eastAsia="宋体"/>
                <w:szCs w:val="21"/>
              </w:rPr>
              <w:t>评分项目</w:t>
            </w:r>
          </w:p>
        </w:tc>
        <w:tc>
          <w:tcPr>
            <w:tcW w:w="5286" w:type="dxa"/>
            <w:vMerge w:val="restart"/>
            <w:tcBorders>
              <w:top w:val="nil"/>
              <w:left w:val="single" w:color="auto" w:sz="4" w:space="0"/>
              <w:bottom w:val="single" w:color="auto" w:sz="4" w:space="0"/>
              <w:right w:val="single" w:color="auto" w:sz="4" w:space="0"/>
            </w:tcBorders>
            <w:vAlign w:val="center"/>
          </w:tcPr>
          <w:p w14:paraId="79CE1CD9">
            <w:pPr>
              <w:jc w:val="center"/>
              <w:rPr>
                <w:rFonts w:hint="eastAsia" w:ascii="宋体" w:hAnsi="宋体" w:eastAsia="宋体"/>
                <w:szCs w:val="21"/>
              </w:rPr>
            </w:pPr>
            <w:r>
              <w:rPr>
                <w:rFonts w:hint="eastAsia" w:ascii="宋体" w:hAnsi="宋体" w:eastAsia="宋体"/>
                <w:szCs w:val="21"/>
              </w:rPr>
              <w:t>扣分标准</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07453E6">
            <w:pPr>
              <w:rPr>
                <w:rFonts w:hint="eastAsia" w:ascii="宋体" w:hAnsi="宋体" w:eastAsia="宋体"/>
                <w:szCs w:val="21"/>
              </w:rPr>
            </w:pPr>
            <w:r>
              <w:rPr>
                <w:rFonts w:hint="eastAsia" w:ascii="宋体" w:hAnsi="宋体" w:eastAsia="宋体"/>
                <w:szCs w:val="21"/>
              </w:rPr>
              <w:t>评价得分</w:t>
            </w:r>
          </w:p>
        </w:tc>
      </w:tr>
      <w:tr w14:paraId="60F4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20F379B8">
            <w:pPr>
              <w:rPr>
                <w:rFonts w:hint="eastAsia" w:ascii="宋体" w:hAnsi="宋体" w:eastAsia="宋体"/>
                <w:szCs w:val="21"/>
              </w:rPr>
            </w:pPr>
          </w:p>
        </w:tc>
        <w:tc>
          <w:tcPr>
            <w:tcW w:w="1229" w:type="dxa"/>
            <w:vMerge w:val="continue"/>
            <w:tcBorders>
              <w:top w:val="nil"/>
              <w:left w:val="single" w:color="auto" w:sz="4" w:space="0"/>
              <w:bottom w:val="single" w:color="auto" w:sz="4" w:space="0"/>
              <w:right w:val="single" w:color="auto" w:sz="4" w:space="0"/>
            </w:tcBorders>
            <w:vAlign w:val="center"/>
          </w:tcPr>
          <w:p w14:paraId="17254476">
            <w:pPr>
              <w:rPr>
                <w:rFonts w:hint="eastAsia" w:ascii="宋体" w:hAnsi="宋体" w:eastAsia="宋体"/>
                <w:szCs w:val="21"/>
              </w:rPr>
            </w:pPr>
          </w:p>
        </w:tc>
        <w:tc>
          <w:tcPr>
            <w:tcW w:w="5286" w:type="dxa"/>
            <w:vMerge w:val="continue"/>
            <w:tcBorders>
              <w:top w:val="nil"/>
              <w:left w:val="single" w:color="auto" w:sz="4" w:space="0"/>
              <w:bottom w:val="single" w:color="auto" w:sz="4" w:space="0"/>
              <w:right w:val="single" w:color="auto" w:sz="4" w:space="0"/>
            </w:tcBorders>
            <w:vAlign w:val="center"/>
          </w:tcPr>
          <w:p w14:paraId="3A65099A">
            <w:pPr>
              <w:rPr>
                <w:rFonts w:hint="eastAsia" w:ascii="宋体" w:hAnsi="宋体" w:eastAsia="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C62530E">
            <w:pPr>
              <w:rPr>
                <w:rFonts w:hint="eastAsia" w:ascii="宋体" w:hAnsi="宋体" w:eastAsia="宋体"/>
                <w:szCs w:val="21"/>
              </w:rPr>
            </w:pPr>
            <w:r>
              <w:rPr>
                <w:rFonts w:hint="eastAsia" w:ascii="宋体" w:hAnsi="宋体" w:eastAsia="宋体"/>
                <w:szCs w:val="21"/>
              </w:rPr>
              <w:t>应得分</w:t>
            </w:r>
          </w:p>
        </w:tc>
        <w:tc>
          <w:tcPr>
            <w:tcW w:w="850" w:type="dxa"/>
            <w:tcBorders>
              <w:top w:val="single" w:color="auto" w:sz="4" w:space="0"/>
              <w:left w:val="single" w:color="auto" w:sz="4" w:space="0"/>
              <w:bottom w:val="single" w:color="auto" w:sz="4" w:space="0"/>
              <w:right w:val="single" w:color="auto" w:sz="4" w:space="0"/>
            </w:tcBorders>
            <w:vAlign w:val="center"/>
          </w:tcPr>
          <w:p w14:paraId="717721A3">
            <w:pPr>
              <w:rPr>
                <w:rFonts w:hint="eastAsia" w:ascii="宋体" w:hAnsi="宋体" w:eastAsia="宋体"/>
                <w:szCs w:val="21"/>
              </w:rPr>
            </w:pPr>
            <w:r>
              <w:rPr>
                <w:rFonts w:hint="eastAsia" w:ascii="宋体" w:hAnsi="宋体" w:eastAsia="宋体"/>
                <w:szCs w:val="21"/>
              </w:rPr>
              <w:t>实得分</w:t>
            </w:r>
          </w:p>
        </w:tc>
      </w:tr>
      <w:tr w14:paraId="39A80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14:paraId="4CB17B8F">
            <w:pPr>
              <w:rPr>
                <w:rFonts w:hint="eastAsia" w:ascii="宋体" w:hAnsi="宋体" w:eastAsia="宋体"/>
                <w:szCs w:val="21"/>
              </w:rPr>
            </w:pPr>
            <w:r>
              <w:rPr>
                <w:rFonts w:hint="eastAsia" w:ascii="宋体" w:hAnsi="宋体" w:eastAsia="宋体"/>
                <w:szCs w:val="21"/>
              </w:rPr>
              <w:t>1</w:t>
            </w:r>
          </w:p>
        </w:tc>
        <w:tc>
          <w:tcPr>
            <w:tcW w:w="1229" w:type="dxa"/>
            <w:tcBorders>
              <w:top w:val="single" w:color="auto" w:sz="4" w:space="0"/>
              <w:left w:val="single" w:color="auto" w:sz="4" w:space="0"/>
              <w:bottom w:val="single" w:color="auto" w:sz="4" w:space="0"/>
              <w:right w:val="single" w:color="auto" w:sz="4" w:space="0"/>
            </w:tcBorders>
            <w:vAlign w:val="center"/>
          </w:tcPr>
          <w:p w14:paraId="2134572F">
            <w:pPr>
              <w:rPr>
                <w:rFonts w:hint="eastAsia" w:ascii="宋体" w:hAnsi="宋体" w:eastAsia="宋体"/>
                <w:szCs w:val="21"/>
              </w:rPr>
            </w:pPr>
            <w:r>
              <w:rPr>
                <w:rFonts w:hint="eastAsia" w:ascii="宋体" w:hAnsi="宋体" w:eastAsia="宋体"/>
                <w:szCs w:val="21"/>
              </w:rPr>
              <w:t>基坑支护</w:t>
            </w:r>
          </w:p>
        </w:tc>
        <w:tc>
          <w:tcPr>
            <w:tcW w:w="5286" w:type="dxa"/>
            <w:tcBorders>
              <w:top w:val="single" w:color="auto" w:sz="4" w:space="0"/>
              <w:left w:val="single" w:color="auto" w:sz="4" w:space="0"/>
              <w:bottom w:val="single" w:color="auto" w:sz="4" w:space="0"/>
              <w:right w:val="single" w:color="auto" w:sz="4" w:space="0"/>
            </w:tcBorders>
            <w:vAlign w:val="center"/>
          </w:tcPr>
          <w:p w14:paraId="386EE2C6">
            <w:pPr>
              <w:rPr>
                <w:rFonts w:hint="eastAsia" w:ascii="宋体" w:hAnsi="宋体" w:eastAsia="宋体"/>
                <w:szCs w:val="21"/>
              </w:rPr>
            </w:pPr>
            <w:r>
              <w:rPr>
                <w:rFonts w:hint="eastAsia" w:ascii="宋体" w:hAnsi="宋体" w:eastAsia="宋体"/>
                <w:szCs w:val="21"/>
              </w:rPr>
              <w:t>对预计超过设计使用年限的基坑工程未提前进行安全评估和设计复核，当设计复核不满足安全指标要求时，未进行加固处理，扣10-15分</w:t>
            </w:r>
          </w:p>
        </w:tc>
        <w:tc>
          <w:tcPr>
            <w:tcW w:w="851" w:type="dxa"/>
            <w:tcBorders>
              <w:top w:val="single" w:color="auto" w:sz="4" w:space="0"/>
              <w:left w:val="single" w:color="auto" w:sz="4" w:space="0"/>
              <w:bottom w:val="single" w:color="auto" w:sz="4" w:space="0"/>
              <w:right w:val="single" w:color="auto" w:sz="4" w:space="0"/>
            </w:tcBorders>
            <w:vAlign w:val="center"/>
          </w:tcPr>
          <w:p w14:paraId="641FECBD">
            <w:pPr>
              <w:rPr>
                <w:rFonts w:hint="eastAsia" w:ascii="宋体" w:hAnsi="宋体" w:eastAsia="宋体"/>
                <w:szCs w:val="21"/>
              </w:rPr>
            </w:pPr>
            <w:r>
              <w:rPr>
                <w:rFonts w:hint="eastAsia" w:ascii="宋体" w:hAnsi="宋体" w:eastAsia="宋体"/>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14:paraId="5F53F31D">
            <w:pPr>
              <w:rPr>
                <w:rFonts w:hint="eastAsia" w:ascii="宋体" w:hAnsi="宋体" w:eastAsia="宋体"/>
                <w:szCs w:val="21"/>
              </w:rPr>
            </w:pPr>
          </w:p>
        </w:tc>
      </w:tr>
      <w:tr w14:paraId="0362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14:paraId="6AD6171D">
            <w:pPr>
              <w:rPr>
                <w:rFonts w:hint="eastAsia" w:ascii="宋体" w:hAnsi="宋体" w:eastAsia="宋体"/>
                <w:szCs w:val="21"/>
              </w:rPr>
            </w:pPr>
            <w:r>
              <w:rPr>
                <w:rFonts w:hint="eastAsia" w:ascii="宋体" w:hAnsi="宋体" w:eastAsia="宋体"/>
                <w:szCs w:val="21"/>
              </w:rPr>
              <w:t>2</w:t>
            </w:r>
          </w:p>
        </w:tc>
        <w:tc>
          <w:tcPr>
            <w:tcW w:w="1229" w:type="dxa"/>
            <w:tcBorders>
              <w:top w:val="single" w:color="auto" w:sz="4" w:space="0"/>
              <w:left w:val="single" w:color="auto" w:sz="4" w:space="0"/>
              <w:bottom w:val="single" w:color="auto" w:sz="4" w:space="0"/>
              <w:right w:val="single" w:color="auto" w:sz="4" w:space="0"/>
            </w:tcBorders>
            <w:vAlign w:val="center"/>
          </w:tcPr>
          <w:p w14:paraId="6E19A7A6">
            <w:pPr>
              <w:rPr>
                <w:rFonts w:hint="eastAsia" w:ascii="宋体" w:hAnsi="宋体" w:eastAsia="宋体"/>
                <w:szCs w:val="21"/>
              </w:rPr>
            </w:pPr>
            <w:r>
              <w:rPr>
                <w:rFonts w:hint="eastAsia" w:ascii="宋体" w:hAnsi="宋体" w:eastAsia="宋体"/>
                <w:szCs w:val="21"/>
              </w:rPr>
              <w:t>降排水</w:t>
            </w:r>
          </w:p>
        </w:tc>
        <w:tc>
          <w:tcPr>
            <w:tcW w:w="5286" w:type="dxa"/>
            <w:tcBorders>
              <w:top w:val="single" w:color="auto" w:sz="4" w:space="0"/>
              <w:left w:val="single" w:color="auto" w:sz="4" w:space="0"/>
              <w:bottom w:val="single" w:color="auto" w:sz="4" w:space="0"/>
              <w:right w:val="single" w:color="auto" w:sz="4" w:space="0"/>
            </w:tcBorders>
            <w:vAlign w:val="center"/>
          </w:tcPr>
          <w:p w14:paraId="26AD1DEE">
            <w:pPr>
              <w:rPr>
                <w:rFonts w:hint="eastAsia" w:ascii="宋体" w:hAnsi="宋体" w:eastAsia="宋体"/>
                <w:szCs w:val="21"/>
              </w:rPr>
            </w:pPr>
            <w:r>
              <w:rPr>
                <w:rFonts w:hint="eastAsia" w:ascii="宋体" w:hAnsi="宋体" w:eastAsia="宋体"/>
                <w:szCs w:val="21"/>
              </w:rPr>
              <w:t>基坑边沿周围地面未设排水沟或排水沟设置不符合规范要求，扣5分</w:t>
            </w:r>
          </w:p>
          <w:p w14:paraId="344310A9">
            <w:pPr>
              <w:rPr>
                <w:rFonts w:hint="eastAsia" w:ascii="宋体" w:hAnsi="宋体" w:eastAsia="宋体"/>
                <w:szCs w:val="21"/>
              </w:rPr>
            </w:pPr>
            <w:r>
              <w:rPr>
                <w:rFonts w:hint="eastAsia" w:ascii="宋体" w:hAnsi="宋体" w:eastAsia="宋体"/>
                <w:szCs w:val="21"/>
              </w:rPr>
              <w:t>放坡开挖对坡顶、坡面、坡脚未采取降排水措施，扣5-15分</w:t>
            </w:r>
          </w:p>
          <w:p w14:paraId="1F684A91">
            <w:pPr>
              <w:rPr>
                <w:rFonts w:hint="eastAsia" w:ascii="宋体" w:hAnsi="宋体" w:eastAsia="宋体"/>
                <w:szCs w:val="21"/>
              </w:rPr>
            </w:pPr>
            <w:r>
              <w:rPr>
                <w:rFonts w:hint="eastAsia" w:ascii="宋体" w:hAnsi="宋体" w:eastAsia="宋体"/>
                <w:szCs w:val="21"/>
              </w:rPr>
              <w:t>基坑底四周未设排水沟和集水井或排除积水不及时，扣5-10分</w:t>
            </w:r>
          </w:p>
        </w:tc>
        <w:tc>
          <w:tcPr>
            <w:tcW w:w="851" w:type="dxa"/>
            <w:tcBorders>
              <w:top w:val="single" w:color="auto" w:sz="4" w:space="0"/>
              <w:left w:val="single" w:color="auto" w:sz="4" w:space="0"/>
              <w:bottom w:val="single" w:color="auto" w:sz="4" w:space="0"/>
              <w:right w:val="single" w:color="auto" w:sz="4" w:space="0"/>
            </w:tcBorders>
            <w:vAlign w:val="center"/>
          </w:tcPr>
          <w:p w14:paraId="37A5AC0C">
            <w:pPr>
              <w:rPr>
                <w:rFonts w:hint="eastAsia" w:ascii="宋体" w:hAnsi="宋体" w:eastAsia="宋体"/>
                <w:szCs w:val="21"/>
              </w:rPr>
            </w:pPr>
            <w:r>
              <w:rPr>
                <w:rFonts w:hint="eastAsia" w:ascii="宋体" w:hAnsi="宋体" w:eastAsia="宋体"/>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14:paraId="24219AB7">
            <w:pPr>
              <w:rPr>
                <w:rFonts w:hint="eastAsia" w:ascii="宋体" w:hAnsi="宋体" w:eastAsia="宋体"/>
                <w:szCs w:val="21"/>
              </w:rPr>
            </w:pPr>
          </w:p>
        </w:tc>
      </w:tr>
      <w:tr w14:paraId="6611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D78B88A">
            <w:pPr>
              <w:rPr>
                <w:rFonts w:hint="eastAsia" w:ascii="宋体" w:hAnsi="宋体" w:eastAsia="宋体" w:cstheme="minorBidi"/>
                <w:kern w:val="2"/>
                <w:sz w:val="21"/>
                <w:szCs w:val="21"/>
                <w:lang w:val="en-US" w:eastAsia="zh-CN" w:bidi="ar-SA"/>
              </w:rPr>
            </w:pPr>
            <w:r>
              <w:rPr>
                <w:rFonts w:hint="eastAsia" w:ascii="宋体" w:hAnsi="宋体" w:eastAsia="宋体"/>
                <w:szCs w:val="21"/>
              </w:rPr>
              <w:t>3</w:t>
            </w:r>
          </w:p>
        </w:tc>
        <w:tc>
          <w:tcPr>
            <w:tcW w:w="1229" w:type="dxa"/>
            <w:tcBorders>
              <w:top w:val="single" w:color="auto" w:sz="4" w:space="0"/>
              <w:left w:val="single" w:color="auto" w:sz="4" w:space="0"/>
              <w:bottom w:val="single" w:color="auto" w:sz="4" w:space="0"/>
              <w:right w:val="single" w:color="auto" w:sz="4" w:space="0"/>
            </w:tcBorders>
            <w:vAlign w:val="center"/>
          </w:tcPr>
          <w:p w14:paraId="0112AF8D">
            <w:pPr>
              <w:rPr>
                <w:rFonts w:hint="eastAsia" w:ascii="宋体" w:hAnsi="宋体" w:eastAsia="宋体"/>
                <w:szCs w:val="21"/>
              </w:rPr>
            </w:pPr>
            <w:r>
              <w:rPr>
                <w:rFonts w:hint="eastAsia" w:ascii="宋体" w:hAnsi="宋体" w:eastAsia="宋体"/>
                <w:szCs w:val="21"/>
              </w:rPr>
              <w:t>坑边荷载</w:t>
            </w:r>
          </w:p>
          <w:p w14:paraId="6162CF15">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4A1C2E0A">
            <w:pPr>
              <w:rPr>
                <w:rFonts w:hint="eastAsia" w:ascii="宋体" w:hAnsi="宋体" w:eastAsia="宋体"/>
                <w:szCs w:val="21"/>
              </w:rPr>
            </w:pPr>
            <w:r>
              <w:rPr>
                <w:rFonts w:hint="eastAsia" w:ascii="宋体" w:hAnsi="宋体" w:eastAsia="宋体"/>
                <w:szCs w:val="21"/>
              </w:rPr>
              <w:t>安全专项施工方案未对边坡及基坑边堆放的荷载进行验算，扣10分</w:t>
            </w:r>
          </w:p>
        </w:tc>
        <w:tc>
          <w:tcPr>
            <w:tcW w:w="851" w:type="dxa"/>
            <w:tcBorders>
              <w:top w:val="single" w:color="auto" w:sz="4" w:space="0"/>
              <w:left w:val="single" w:color="auto" w:sz="4" w:space="0"/>
              <w:bottom w:val="single" w:color="auto" w:sz="4" w:space="0"/>
              <w:right w:val="single" w:color="auto" w:sz="4" w:space="0"/>
            </w:tcBorders>
            <w:vAlign w:val="center"/>
          </w:tcPr>
          <w:p w14:paraId="0ECBF476">
            <w:pPr>
              <w:rPr>
                <w:rFonts w:hint="eastAsia" w:ascii="宋体" w:hAnsi="宋体" w:eastAsia="宋体"/>
                <w:szCs w:val="21"/>
              </w:rPr>
            </w:pPr>
            <w:r>
              <w:rPr>
                <w:rFonts w:hint="eastAsia" w:ascii="宋体" w:hAnsi="宋体" w:eastAsia="宋体"/>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14:paraId="37A71D8E">
            <w:pPr>
              <w:rPr>
                <w:rFonts w:hint="eastAsia" w:ascii="宋体" w:hAnsi="宋体" w:eastAsia="宋体"/>
                <w:szCs w:val="21"/>
              </w:rPr>
            </w:pPr>
          </w:p>
        </w:tc>
      </w:tr>
      <w:tr w14:paraId="7861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E2C8C8E">
            <w:pPr>
              <w:rPr>
                <w:rFonts w:hint="eastAsia" w:ascii="宋体" w:hAnsi="宋体" w:eastAsia="宋体" w:cstheme="minorBidi"/>
                <w:kern w:val="2"/>
                <w:sz w:val="21"/>
                <w:szCs w:val="21"/>
                <w:lang w:val="en-US" w:eastAsia="zh-CN" w:bidi="ar-SA"/>
              </w:rPr>
            </w:pPr>
            <w:r>
              <w:rPr>
                <w:rFonts w:hint="eastAsia" w:ascii="宋体" w:hAnsi="宋体" w:eastAsia="宋体"/>
                <w:szCs w:val="21"/>
              </w:rPr>
              <w:t>4</w:t>
            </w:r>
          </w:p>
        </w:tc>
        <w:tc>
          <w:tcPr>
            <w:tcW w:w="1229" w:type="dxa"/>
            <w:tcBorders>
              <w:top w:val="single" w:color="auto" w:sz="4" w:space="0"/>
              <w:left w:val="single" w:color="auto" w:sz="4" w:space="0"/>
              <w:bottom w:val="single" w:color="auto" w:sz="4" w:space="0"/>
              <w:right w:val="single" w:color="auto" w:sz="4" w:space="0"/>
            </w:tcBorders>
            <w:vAlign w:val="center"/>
          </w:tcPr>
          <w:p w14:paraId="28007C75">
            <w:pPr>
              <w:rPr>
                <w:rFonts w:hint="eastAsia" w:ascii="宋体" w:hAnsi="宋体" w:eastAsia="宋体"/>
                <w:szCs w:val="21"/>
              </w:rPr>
            </w:pPr>
            <w:r>
              <w:rPr>
                <w:rFonts w:hint="eastAsia" w:ascii="宋体" w:hAnsi="宋体" w:eastAsia="宋体"/>
                <w:szCs w:val="21"/>
              </w:rPr>
              <w:t>支护开挖</w:t>
            </w:r>
          </w:p>
          <w:p w14:paraId="46033840">
            <w:pPr>
              <w:rPr>
                <w:rFonts w:hint="eastAsia" w:ascii="宋体" w:hAnsi="宋体" w:eastAsia="宋体"/>
                <w:szCs w:val="21"/>
              </w:rPr>
            </w:pPr>
          </w:p>
        </w:tc>
        <w:tc>
          <w:tcPr>
            <w:tcW w:w="5286" w:type="dxa"/>
            <w:tcBorders>
              <w:top w:val="single" w:color="auto" w:sz="4" w:space="0"/>
              <w:left w:val="single" w:color="auto" w:sz="4" w:space="0"/>
              <w:bottom w:val="single" w:color="auto" w:sz="4" w:space="0"/>
              <w:right w:val="single" w:color="auto" w:sz="4" w:space="0"/>
            </w:tcBorders>
            <w:vAlign w:val="center"/>
          </w:tcPr>
          <w:p w14:paraId="29913B22">
            <w:pPr>
              <w:rPr>
                <w:rFonts w:hint="eastAsia" w:ascii="宋体" w:hAnsi="宋体" w:eastAsia="宋体"/>
                <w:szCs w:val="21"/>
              </w:rPr>
            </w:pPr>
            <w:r>
              <w:rPr>
                <w:rFonts w:hint="eastAsia" w:ascii="宋体" w:hAnsi="宋体" w:eastAsia="宋体"/>
                <w:szCs w:val="21"/>
              </w:rPr>
              <w:t>内支撑结构基坑开挖未按设计及方案要求均衡进行，扣10-15分</w:t>
            </w:r>
          </w:p>
          <w:p w14:paraId="4C308015">
            <w:pPr>
              <w:rPr>
                <w:rFonts w:hint="eastAsia" w:ascii="宋体" w:hAnsi="宋体" w:eastAsia="宋体"/>
                <w:szCs w:val="21"/>
              </w:rPr>
            </w:pPr>
            <w:r>
              <w:rPr>
                <w:rFonts w:hint="eastAsia" w:ascii="宋体" w:hAnsi="宋体" w:eastAsia="宋体"/>
                <w:szCs w:val="21"/>
              </w:rPr>
              <w:t>基坑开挖未对因基坑、边坡、沟槽开挖施工可能造成损害的毗邻建筑物、构筑物和地下管线等采取专项防护措施，扣10-15分</w:t>
            </w:r>
          </w:p>
          <w:p w14:paraId="230C840B">
            <w:pPr>
              <w:rPr>
                <w:rFonts w:hint="eastAsia" w:ascii="宋体" w:hAnsi="宋体" w:eastAsia="宋体"/>
                <w:szCs w:val="21"/>
              </w:rPr>
            </w:pPr>
            <w:r>
              <w:rPr>
                <w:rFonts w:hint="eastAsia" w:ascii="宋体" w:hAnsi="宋体" w:eastAsia="宋体"/>
                <w:szCs w:val="21"/>
              </w:rPr>
              <w:t>基坑开挖至坑底标高时，未及时进行坑底封闭，未采取防止水浸、暴露和扰动基底原状土的措施，扣10-15分</w:t>
            </w:r>
          </w:p>
        </w:tc>
        <w:tc>
          <w:tcPr>
            <w:tcW w:w="851" w:type="dxa"/>
            <w:tcBorders>
              <w:top w:val="single" w:color="auto" w:sz="4" w:space="0"/>
              <w:left w:val="single" w:color="auto" w:sz="4" w:space="0"/>
              <w:bottom w:val="single" w:color="auto" w:sz="4" w:space="0"/>
              <w:right w:val="single" w:color="auto" w:sz="4" w:space="0"/>
            </w:tcBorders>
            <w:vAlign w:val="center"/>
          </w:tcPr>
          <w:p w14:paraId="7E00666F">
            <w:pPr>
              <w:rPr>
                <w:rFonts w:hint="eastAsia" w:ascii="宋体" w:hAnsi="宋体" w:eastAsia="宋体"/>
                <w:szCs w:val="21"/>
              </w:rPr>
            </w:pPr>
            <w:r>
              <w:rPr>
                <w:rFonts w:hint="eastAsia" w:ascii="宋体" w:hAnsi="宋体" w:eastAsia="宋体"/>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14:paraId="212FB050">
            <w:pPr>
              <w:rPr>
                <w:rFonts w:hint="eastAsia" w:ascii="宋体" w:hAnsi="宋体" w:eastAsia="宋体"/>
                <w:szCs w:val="21"/>
              </w:rPr>
            </w:pPr>
          </w:p>
        </w:tc>
      </w:tr>
      <w:tr w14:paraId="17B40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965F00D">
            <w:pPr>
              <w:rPr>
                <w:rFonts w:hint="eastAsia" w:ascii="宋体" w:hAnsi="宋体" w:eastAsia="宋体" w:cstheme="minorBidi"/>
                <w:kern w:val="2"/>
                <w:sz w:val="21"/>
                <w:szCs w:val="21"/>
                <w:lang w:val="en-US" w:eastAsia="zh-CN" w:bidi="ar-SA"/>
              </w:rPr>
            </w:pPr>
            <w:r>
              <w:rPr>
                <w:rFonts w:hint="eastAsia" w:ascii="宋体" w:hAnsi="宋体" w:eastAsia="宋体"/>
                <w:szCs w:val="21"/>
              </w:rPr>
              <w:t>5</w:t>
            </w:r>
          </w:p>
        </w:tc>
        <w:tc>
          <w:tcPr>
            <w:tcW w:w="1229" w:type="dxa"/>
            <w:tcBorders>
              <w:top w:val="single" w:color="auto" w:sz="4" w:space="0"/>
              <w:left w:val="single" w:color="auto" w:sz="4" w:space="0"/>
              <w:bottom w:val="single" w:color="auto" w:sz="4" w:space="0"/>
              <w:right w:val="single" w:color="auto" w:sz="4" w:space="0"/>
            </w:tcBorders>
            <w:shd w:val="clear" w:color="auto" w:fill="auto"/>
            <w:vAlign w:val="center"/>
          </w:tcPr>
          <w:p w14:paraId="09FF86CD">
            <w:pPr>
              <w:rPr>
                <w:rFonts w:hint="eastAsia" w:ascii="宋体" w:hAnsi="宋体" w:eastAsia="宋体" w:cstheme="minorBidi"/>
                <w:kern w:val="2"/>
                <w:sz w:val="21"/>
                <w:szCs w:val="21"/>
                <w:lang w:val="en-US" w:eastAsia="zh-CN" w:bidi="ar-SA"/>
              </w:rPr>
            </w:pPr>
            <w:r>
              <w:rPr>
                <w:rFonts w:hint="eastAsia"/>
                <w:color w:val="000000" w:themeColor="text1"/>
                <w:highlight w:val="none"/>
                <w:lang w:bidi="ar"/>
                <w14:textFill>
                  <w14:solidFill>
                    <w14:schemeClr w14:val="tx1"/>
                  </w14:solidFill>
                </w14:textFill>
              </w:rPr>
              <w:t>基坑监测</w:t>
            </w:r>
          </w:p>
        </w:tc>
        <w:tc>
          <w:tcPr>
            <w:tcW w:w="5286" w:type="dxa"/>
            <w:tcBorders>
              <w:top w:val="single" w:color="auto" w:sz="4" w:space="0"/>
              <w:left w:val="single" w:color="auto" w:sz="4" w:space="0"/>
              <w:bottom w:val="single" w:color="auto" w:sz="4" w:space="0"/>
              <w:right w:val="single" w:color="auto" w:sz="4" w:space="0"/>
            </w:tcBorders>
            <w:shd w:val="clear" w:color="auto" w:fill="auto"/>
            <w:vAlign w:val="center"/>
          </w:tcPr>
          <w:p w14:paraId="0708BDFD">
            <w:pPr>
              <w:rPr>
                <w:rFonts w:hint="eastAsia" w:ascii="宋体" w:hAnsi="宋体" w:eastAsia="宋体"/>
                <w:szCs w:val="21"/>
              </w:rPr>
            </w:pPr>
            <w:r>
              <w:rPr>
                <w:rFonts w:hint="eastAsia" w:ascii="宋体" w:hAnsi="宋体" w:eastAsia="宋体"/>
                <w:szCs w:val="21"/>
              </w:rPr>
              <w:t>未按要求进行基坑工程监测，扣10分基坑监测项目不符合设计和规范要求，扣10-15分</w:t>
            </w:r>
          </w:p>
          <w:p w14:paraId="09965338">
            <w:pPr>
              <w:rPr>
                <w:rFonts w:hint="eastAsia" w:ascii="宋体" w:hAnsi="宋体" w:eastAsia="宋体"/>
                <w:szCs w:val="21"/>
              </w:rPr>
            </w:pPr>
            <w:r>
              <w:rPr>
                <w:rFonts w:hint="eastAsia" w:ascii="宋体" w:hAnsi="宋体" w:eastAsia="宋体"/>
                <w:szCs w:val="21"/>
              </w:rPr>
              <w:t>基坑、高边坡施工应进行第三方监测的监测单位未按照监测方案开展监测，未及时向建设单位报送监测成果，发现异常时，未及时向建设、设计、施工、监理单位报告，扣10-15分</w:t>
            </w:r>
          </w:p>
          <w:p w14:paraId="0D9C4C55">
            <w:pPr>
              <w:rPr>
                <w:rFonts w:hint="eastAsia" w:ascii="宋体" w:hAnsi="宋体" w:eastAsia="宋体"/>
                <w:szCs w:val="21"/>
              </w:rPr>
            </w:pPr>
            <w:r>
              <w:rPr>
                <w:rFonts w:hint="eastAsia" w:ascii="宋体" w:hAnsi="宋体" w:eastAsia="宋体"/>
                <w:szCs w:val="21"/>
              </w:rPr>
              <w:t>监测的时间间隔不符合监测方案要求或监测结果变化速率较大未加密观测次数，扣 5-8分</w:t>
            </w:r>
          </w:p>
          <w:p w14:paraId="005F4428">
            <w:pPr>
              <w:rPr>
                <w:rFonts w:hint="eastAsia" w:ascii="宋体" w:hAnsi="宋体" w:eastAsia="宋体"/>
                <w:szCs w:val="21"/>
              </w:rPr>
            </w:pPr>
            <w:r>
              <w:rPr>
                <w:rFonts w:hint="eastAsia" w:ascii="宋体" w:hAnsi="宋体" w:eastAsia="宋体"/>
                <w:szCs w:val="21"/>
              </w:rPr>
              <w:t>未按设计要求提交监测报告或监测报告内容不完整，扣5-8分</w:t>
            </w:r>
          </w:p>
          <w:p w14:paraId="087FF5A7">
            <w:pPr>
              <w:rPr>
                <w:rFonts w:hint="eastAsia" w:ascii="宋体" w:hAnsi="宋体" w:eastAsia="宋体"/>
                <w:szCs w:val="21"/>
              </w:rPr>
            </w:pPr>
            <w:r>
              <w:rPr>
                <w:rFonts w:hint="eastAsia" w:ascii="宋体" w:hAnsi="宋体" w:eastAsia="宋体"/>
                <w:szCs w:val="21"/>
              </w:rPr>
              <w:t>有特殊要求或安全等级为一级基坑工程，未依据基坑现场施工作业计划制定基坑施工安全监测应急预案，扣5分</w:t>
            </w:r>
          </w:p>
          <w:p w14:paraId="21F6A02E">
            <w:pPr>
              <w:rPr>
                <w:rFonts w:hint="eastAsia" w:ascii="宋体" w:hAnsi="宋体" w:eastAsia="宋体"/>
                <w:szCs w:val="21"/>
              </w:rPr>
            </w:pPr>
            <w:r>
              <w:rPr>
                <w:rFonts w:hint="eastAsia" w:ascii="宋体" w:hAnsi="宋体" w:eastAsia="宋体"/>
                <w:szCs w:val="21"/>
              </w:rPr>
              <w:t>基坑（槽）、边坡、管道沟槽等施工过程中，未设置专人对基坑临边、坑壁、周围建(构)筑物及道路、管线等安全情况进行动态巡查，扣1-5分</w:t>
            </w:r>
          </w:p>
          <w:p w14:paraId="3E22FE67">
            <w:pPr>
              <w:rPr>
                <w:rFonts w:hint="eastAsia" w:ascii="宋体" w:hAnsi="宋体" w:eastAsia="宋体" w:cstheme="minorBidi"/>
                <w:kern w:val="2"/>
                <w:sz w:val="21"/>
                <w:szCs w:val="21"/>
                <w:lang w:val="en-US" w:eastAsia="zh-CN" w:bidi="ar-SA"/>
              </w:rPr>
            </w:pPr>
            <w:r>
              <w:rPr>
                <w:rFonts w:hint="eastAsia" w:ascii="宋体" w:hAnsi="宋体" w:eastAsia="宋体"/>
                <w:szCs w:val="21"/>
              </w:rPr>
              <w:t>基坑坡顶地面</w:t>
            </w:r>
            <w:r>
              <w:rPr>
                <w:rFonts w:hint="eastAsia" w:ascii="宋体" w:hAnsi="宋体" w:eastAsia="宋体"/>
                <w:szCs w:val="21"/>
                <w:lang w:val="en-US" w:eastAsia="zh-CN"/>
              </w:rPr>
              <w:t>出现</w:t>
            </w:r>
            <w:r>
              <w:rPr>
                <w:rFonts w:hint="eastAsia" w:ascii="宋体" w:hAnsi="宋体" w:eastAsia="宋体"/>
                <w:szCs w:val="21"/>
              </w:rPr>
              <w:t>明显裂缝，基坑周边建筑物</w:t>
            </w:r>
            <w:r>
              <w:rPr>
                <w:rFonts w:hint="eastAsia" w:ascii="宋体" w:hAnsi="宋体" w:eastAsia="宋体"/>
                <w:szCs w:val="21"/>
                <w:lang w:val="en-US" w:eastAsia="zh-CN"/>
              </w:rPr>
              <w:t>出现</w:t>
            </w:r>
            <w:r>
              <w:rPr>
                <w:rFonts w:hint="eastAsia" w:ascii="宋体" w:hAnsi="宋体" w:eastAsia="宋体"/>
                <w:szCs w:val="21"/>
              </w:rPr>
              <w:t>明显变形，扣5分</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52451E2">
            <w:pPr>
              <w:rPr>
                <w:rFonts w:hint="eastAsia" w:ascii="宋体" w:hAnsi="宋体" w:eastAsia="宋体" w:cstheme="minorBidi"/>
                <w:kern w:val="2"/>
                <w:sz w:val="21"/>
                <w:szCs w:val="21"/>
                <w:lang w:val="en-US" w:eastAsia="zh-CN" w:bidi="ar-SA"/>
              </w:rPr>
            </w:pPr>
            <w:r>
              <w:rPr>
                <w:rFonts w:hint="eastAsia" w:ascii="宋体" w:hAnsi="宋体" w:eastAsia="宋体"/>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14:paraId="23BBAEB7">
            <w:pPr>
              <w:rPr>
                <w:rFonts w:hint="eastAsia" w:ascii="宋体" w:hAnsi="宋体" w:eastAsia="宋体"/>
                <w:szCs w:val="21"/>
              </w:rPr>
            </w:pPr>
          </w:p>
        </w:tc>
      </w:tr>
      <w:tr w14:paraId="1240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0B780B38">
            <w:pPr>
              <w:rPr>
                <w:rFonts w:hint="eastAsia" w:ascii="宋体" w:hAnsi="宋体" w:eastAsia="宋体" w:cstheme="minorBidi"/>
                <w:kern w:val="2"/>
                <w:sz w:val="21"/>
                <w:szCs w:val="21"/>
                <w:lang w:val="en-US" w:eastAsia="zh-CN" w:bidi="ar-SA"/>
              </w:rPr>
            </w:pPr>
            <w:r>
              <w:rPr>
                <w:rFonts w:hint="eastAsia" w:ascii="宋体" w:hAnsi="宋体" w:eastAsia="宋体"/>
                <w:szCs w:val="21"/>
              </w:rPr>
              <w:t>6</w:t>
            </w:r>
          </w:p>
        </w:tc>
        <w:tc>
          <w:tcPr>
            <w:tcW w:w="1229" w:type="dxa"/>
            <w:tcBorders>
              <w:top w:val="single" w:color="auto" w:sz="4" w:space="0"/>
              <w:left w:val="single" w:color="auto" w:sz="4" w:space="0"/>
              <w:bottom w:val="single" w:color="auto" w:sz="4" w:space="0"/>
              <w:right w:val="single" w:color="auto" w:sz="4" w:space="0"/>
            </w:tcBorders>
            <w:vAlign w:val="center"/>
          </w:tcPr>
          <w:p w14:paraId="5312C593">
            <w:pPr>
              <w:rPr>
                <w:rFonts w:hint="eastAsia" w:ascii="宋体" w:hAnsi="宋体" w:eastAsia="宋体"/>
                <w:szCs w:val="21"/>
              </w:rPr>
            </w:pPr>
            <w:r>
              <w:rPr>
                <w:rFonts w:hint="eastAsia" w:ascii="宋体" w:hAnsi="宋体" w:eastAsia="宋体"/>
                <w:szCs w:val="21"/>
              </w:rPr>
              <w:t>安全防护</w:t>
            </w:r>
          </w:p>
        </w:tc>
        <w:tc>
          <w:tcPr>
            <w:tcW w:w="5286" w:type="dxa"/>
            <w:tcBorders>
              <w:top w:val="single" w:color="auto" w:sz="4" w:space="0"/>
              <w:left w:val="single" w:color="auto" w:sz="4" w:space="0"/>
              <w:bottom w:val="single" w:color="auto" w:sz="4" w:space="0"/>
              <w:right w:val="single" w:color="auto" w:sz="4" w:space="0"/>
            </w:tcBorders>
            <w:vAlign w:val="center"/>
          </w:tcPr>
          <w:p w14:paraId="67D2DE3D">
            <w:pPr>
              <w:rPr>
                <w:rFonts w:hint="eastAsia" w:ascii="宋体" w:hAnsi="宋体" w:eastAsia="宋体"/>
                <w:szCs w:val="21"/>
              </w:rPr>
            </w:pPr>
            <w:r>
              <w:rPr>
                <w:rFonts w:hint="eastAsia" w:ascii="宋体" w:hAnsi="宋体" w:eastAsia="宋体"/>
                <w:szCs w:val="21"/>
              </w:rPr>
              <w:t>基坑、管沟边沿及边坡等危险地段施工时，未置安全护栏和明显的警示标志，夜间施工时，现场照明条件不满足施工要求</w:t>
            </w:r>
            <w:r>
              <w:rPr>
                <w:rFonts w:hint="eastAsia" w:ascii="宋体" w:hAnsi="宋体" w:eastAsia="宋体"/>
                <w:szCs w:val="21"/>
                <w:lang w:eastAsia="zh-CN"/>
              </w:rPr>
              <w:t>，</w:t>
            </w:r>
            <w:r>
              <w:rPr>
                <w:rFonts w:hint="eastAsia" w:ascii="宋体" w:hAnsi="宋体" w:eastAsia="宋体"/>
                <w:szCs w:val="21"/>
              </w:rPr>
              <w:t>扣5-10分</w:t>
            </w:r>
          </w:p>
          <w:p w14:paraId="0474BF9E">
            <w:pPr>
              <w:rPr>
                <w:rFonts w:hint="eastAsia" w:ascii="宋体" w:hAnsi="宋体" w:eastAsia="宋体"/>
                <w:szCs w:val="21"/>
              </w:rPr>
            </w:pPr>
            <w:r>
              <w:rPr>
                <w:rFonts w:hint="eastAsia" w:ascii="宋体" w:hAnsi="宋体" w:eastAsia="宋体"/>
                <w:szCs w:val="21"/>
              </w:rPr>
              <w:t>开挖深度2m及以上的基坑周边未按规范要求设置防护栏杆或栏杆设置不符合规范要求，扣5-10分</w:t>
            </w:r>
          </w:p>
          <w:p w14:paraId="1616B403">
            <w:pPr>
              <w:rPr>
                <w:rFonts w:hint="eastAsia" w:ascii="宋体" w:hAnsi="宋体" w:eastAsia="宋体"/>
                <w:szCs w:val="21"/>
              </w:rPr>
            </w:pPr>
            <w:r>
              <w:rPr>
                <w:rFonts w:hint="eastAsia" w:ascii="宋体" w:hAnsi="宋体" w:eastAsia="宋体"/>
                <w:szCs w:val="21"/>
              </w:rPr>
              <w:t>基坑内未设置供施工人员上下的专用梯道或梯道设置不符合规范要求，扣5-10 分</w:t>
            </w:r>
          </w:p>
          <w:p w14:paraId="6B657502">
            <w:pPr>
              <w:rPr>
                <w:rFonts w:hint="eastAsia" w:ascii="宋体" w:hAnsi="宋体" w:eastAsia="宋体"/>
                <w:szCs w:val="21"/>
              </w:rPr>
            </w:pPr>
            <w:r>
              <w:rPr>
                <w:rFonts w:hint="eastAsia" w:ascii="宋体" w:hAnsi="宋体" w:eastAsia="宋体"/>
                <w:szCs w:val="21"/>
              </w:rPr>
              <w:t>基坑施工时对主要影响区范围内的建（构）筑物和地下管线保护措施不符合规范及专项施工方案的要求，或无相关安全保护措施资料，扣5-10分</w:t>
            </w:r>
          </w:p>
          <w:p w14:paraId="17DEDAF8">
            <w:pPr>
              <w:rPr>
                <w:rFonts w:hint="eastAsia" w:ascii="宋体" w:hAnsi="宋体" w:eastAsia="宋体"/>
                <w:szCs w:val="21"/>
              </w:rPr>
            </w:pPr>
            <w:r>
              <w:rPr>
                <w:rFonts w:hint="eastAsia" w:ascii="宋体" w:hAnsi="宋体" w:eastAsia="宋体"/>
                <w:szCs w:val="21"/>
              </w:rPr>
              <w:t>基坑顶部未按设计或方案要求进行硬化或防渗处理，扣1-5 分</w:t>
            </w:r>
          </w:p>
        </w:tc>
        <w:tc>
          <w:tcPr>
            <w:tcW w:w="851" w:type="dxa"/>
            <w:tcBorders>
              <w:top w:val="single" w:color="auto" w:sz="4" w:space="0"/>
              <w:left w:val="single" w:color="auto" w:sz="4" w:space="0"/>
              <w:bottom w:val="single" w:color="auto" w:sz="4" w:space="0"/>
              <w:right w:val="single" w:color="auto" w:sz="4" w:space="0"/>
            </w:tcBorders>
            <w:vAlign w:val="center"/>
          </w:tcPr>
          <w:p w14:paraId="20481FC8">
            <w:pPr>
              <w:rPr>
                <w:rFonts w:hint="eastAsia" w:ascii="宋体" w:hAnsi="宋体" w:eastAsia="宋体"/>
                <w:szCs w:val="21"/>
              </w:rPr>
            </w:pPr>
            <w:r>
              <w:rPr>
                <w:rFonts w:hint="eastAsia" w:ascii="宋体" w:hAnsi="宋体" w:eastAsia="宋体"/>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14:paraId="258CD8EC">
            <w:pPr>
              <w:rPr>
                <w:rFonts w:hint="eastAsia" w:ascii="宋体" w:hAnsi="宋体" w:eastAsia="宋体"/>
                <w:szCs w:val="21"/>
              </w:rPr>
            </w:pPr>
          </w:p>
        </w:tc>
      </w:tr>
      <w:tr w14:paraId="52F4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14:paraId="5F310E3D">
            <w:pPr>
              <w:rPr>
                <w:rFonts w:hint="eastAsia" w:ascii="宋体" w:hAnsi="宋体" w:eastAsia="宋体"/>
                <w:szCs w:val="21"/>
              </w:rPr>
            </w:pPr>
            <w:r>
              <w:rPr>
                <w:rFonts w:hint="eastAsia" w:ascii="宋体" w:hAnsi="宋体" w:eastAsia="宋体"/>
                <w:szCs w:val="21"/>
              </w:rPr>
              <w:t>7</w:t>
            </w:r>
          </w:p>
        </w:tc>
        <w:tc>
          <w:tcPr>
            <w:tcW w:w="1229" w:type="dxa"/>
            <w:tcBorders>
              <w:top w:val="single" w:color="auto" w:sz="4" w:space="0"/>
              <w:left w:val="single" w:color="auto" w:sz="4" w:space="0"/>
              <w:bottom w:val="single" w:color="auto" w:sz="4" w:space="0"/>
              <w:right w:val="single" w:color="auto" w:sz="4" w:space="0"/>
            </w:tcBorders>
            <w:vAlign w:val="center"/>
          </w:tcPr>
          <w:p w14:paraId="13AFEF9D">
            <w:pPr>
              <w:rPr>
                <w:rFonts w:hint="eastAsia" w:ascii="宋体" w:hAnsi="宋体" w:eastAsia="宋体"/>
                <w:szCs w:val="21"/>
              </w:rPr>
            </w:pPr>
            <w:r>
              <w:rPr>
                <w:rFonts w:hint="eastAsia" w:ascii="宋体" w:hAnsi="宋体" w:eastAsia="宋体"/>
                <w:szCs w:val="21"/>
              </w:rPr>
              <w:t>支撑拆除</w:t>
            </w:r>
          </w:p>
        </w:tc>
        <w:tc>
          <w:tcPr>
            <w:tcW w:w="5286" w:type="dxa"/>
            <w:tcBorders>
              <w:top w:val="single" w:color="auto" w:sz="4" w:space="0"/>
              <w:left w:val="single" w:color="auto" w:sz="4" w:space="0"/>
              <w:bottom w:val="single" w:color="auto" w:sz="4" w:space="0"/>
              <w:right w:val="single" w:color="auto" w:sz="4" w:space="0"/>
            </w:tcBorders>
            <w:vAlign w:val="center"/>
          </w:tcPr>
          <w:p w14:paraId="4D706D68">
            <w:pPr>
              <w:rPr>
                <w:rFonts w:hint="eastAsia" w:ascii="宋体" w:hAnsi="宋体" w:eastAsia="宋体"/>
                <w:szCs w:val="21"/>
              </w:rPr>
            </w:pPr>
            <w:r>
              <w:rPr>
                <w:rFonts w:hint="eastAsia" w:ascii="宋体" w:hAnsi="宋体" w:eastAsia="宋体"/>
                <w:szCs w:val="21"/>
              </w:rPr>
              <w:t>基坑支撑结构的拆除方式、拆除顺序不符合专项施工方案要求，扣5-10分</w:t>
            </w:r>
          </w:p>
          <w:p w14:paraId="5AF7393D">
            <w:pPr>
              <w:rPr>
                <w:rFonts w:hint="eastAsia" w:ascii="宋体" w:hAnsi="宋体" w:eastAsia="宋体"/>
                <w:szCs w:val="21"/>
              </w:rPr>
            </w:pPr>
            <w:r>
              <w:rPr>
                <w:rFonts w:hint="eastAsia" w:ascii="宋体" w:hAnsi="宋体" w:eastAsia="宋体"/>
                <w:szCs w:val="21"/>
              </w:rPr>
              <w:t>人工拆除作业时，未按规定设置防护设施，扣</w:t>
            </w:r>
            <w:r>
              <w:rPr>
                <w:rFonts w:hint="eastAsia" w:ascii="宋体" w:hAnsi="宋体" w:eastAsia="宋体"/>
                <w:szCs w:val="21"/>
                <w:lang w:val="en-US" w:eastAsia="zh-CN"/>
              </w:rPr>
              <w:t>5</w:t>
            </w:r>
            <w:r>
              <w:rPr>
                <w:rFonts w:hint="eastAsia" w:ascii="宋体" w:hAnsi="宋体" w:eastAsia="宋体"/>
                <w:szCs w:val="21"/>
              </w:rPr>
              <w:t>分</w:t>
            </w:r>
          </w:p>
        </w:tc>
        <w:tc>
          <w:tcPr>
            <w:tcW w:w="851" w:type="dxa"/>
            <w:tcBorders>
              <w:top w:val="single" w:color="auto" w:sz="4" w:space="0"/>
              <w:left w:val="single" w:color="auto" w:sz="4" w:space="0"/>
              <w:bottom w:val="single" w:color="auto" w:sz="4" w:space="0"/>
              <w:right w:val="single" w:color="auto" w:sz="4" w:space="0"/>
            </w:tcBorders>
            <w:vAlign w:val="center"/>
          </w:tcPr>
          <w:p w14:paraId="56B487C1">
            <w:pPr>
              <w:rPr>
                <w:rFonts w:hint="eastAsia" w:ascii="宋体" w:hAnsi="宋体" w:eastAsia="宋体"/>
                <w:szCs w:val="21"/>
              </w:rPr>
            </w:pPr>
            <w:r>
              <w:rPr>
                <w:rFonts w:hint="eastAsia" w:ascii="宋体" w:hAnsi="宋体" w:eastAsia="宋体"/>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14:paraId="4111F30A">
            <w:pPr>
              <w:rPr>
                <w:rFonts w:hint="eastAsia" w:ascii="宋体" w:hAnsi="宋体" w:eastAsia="宋体"/>
                <w:szCs w:val="21"/>
              </w:rPr>
            </w:pPr>
          </w:p>
        </w:tc>
      </w:tr>
      <w:tr w14:paraId="22ACA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14:paraId="5315ABC3">
            <w:pPr>
              <w:rPr>
                <w:rFonts w:hint="eastAsia" w:ascii="宋体" w:hAnsi="宋体" w:eastAsia="宋体"/>
                <w:szCs w:val="21"/>
              </w:rPr>
            </w:pPr>
            <w:r>
              <w:rPr>
                <w:rFonts w:hint="eastAsia" w:ascii="宋体" w:hAnsi="宋体" w:eastAsia="宋体"/>
                <w:szCs w:val="21"/>
              </w:rPr>
              <w:t>8</w:t>
            </w:r>
          </w:p>
        </w:tc>
        <w:tc>
          <w:tcPr>
            <w:tcW w:w="1229" w:type="dxa"/>
            <w:tcBorders>
              <w:top w:val="single" w:color="auto" w:sz="4" w:space="0"/>
              <w:left w:val="single" w:color="auto" w:sz="4" w:space="0"/>
              <w:bottom w:val="single" w:color="auto" w:sz="4" w:space="0"/>
              <w:right w:val="single" w:color="auto" w:sz="4" w:space="0"/>
            </w:tcBorders>
            <w:vAlign w:val="center"/>
          </w:tcPr>
          <w:p w14:paraId="53CE4D01">
            <w:pPr>
              <w:rPr>
                <w:rFonts w:hint="eastAsia" w:ascii="宋体" w:hAnsi="宋体" w:eastAsia="宋体"/>
                <w:szCs w:val="21"/>
              </w:rPr>
            </w:pPr>
            <w:r>
              <w:rPr>
                <w:rFonts w:hint="eastAsia" w:ascii="宋体" w:hAnsi="宋体" w:eastAsia="宋体"/>
                <w:szCs w:val="21"/>
              </w:rPr>
              <w:t>作业环境</w:t>
            </w:r>
          </w:p>
        </w:tc>
        <w:tc>
          <w:tcPr>
            <w:tcW w:w="5286" w:type="dxa"/>
            <w:tcBorders>
              <w:top w:val="single" w:color="auto" w:sz="4" w:space="0"/>
              <w:left w:val="single" w:color="auto" w:sz="4" w:space="0"/>
              <w:bottom w:val="single" w:color="auto" w:sz="4" w:space="0"/>
              <w:right w:val="single" w:color="auto" w:sz="4" w:space="0"/>
            </w:tcBorders>
            <w:vAlign w:val="center"/>
          </w:tcPr>
          <w:p w14:paraId="1C034FC2">
            <w:pPr>
              <w:rPr>
                <w:rFonts w:hint="eastAsia" w:ascii="宋体" w:hAnsi="宋体" w:eastAsia="宋体"/>
                <w:szCs w:val="21"/>
              </w:rPr>
            </w:pPr>
            <w:r>
              <w:rPr>
                <w:rFonts w:hint="eastAsia" w:ascii="宋体" w:hAnsi="宋体" w:eastAsia="宋体"/>
                <w:szCs w:val="21"/>
              </w:rPr>
              <w:t>上下垂直作业未采取防护措施，扣5分</w:t>
            </w:r>
          </w:p>
          <w:p w14:paraId="7AD58365">
            <w:pPr>
              <w:rPr>
                <w:rFonts w:hint="eastAsia" w:ascii="宋体" w:hAnsi="宋体" w:eastAsia="宋体"/>
                <w:szCs w:val="21"/>
              </w:rPr>
            </w:pPr>
            <w:r>
              <w:rPr>
                <w:rFonts w:hint="eastAsia" w:ascii="宋体" w:hAnsi="宋体" w:eastAsia="宋体"/>
                <w:szCs w:val="21"/>
              </w:rPr>
              <w:t>在各种管线范围内挖土作业，未采取安全保护措施，未设专人监护，扣5分</w:t>
            </w:r>
          </w:p>
          <w:p w14:paraId="62E8F9EB">
            <w:pPr>
              <w:rPr>
                <w:rFonts w:hint="eastAsia" w:ascii="宋体" w:hAnsi="宋体" w:eastAsia="宋体"/>
                <w:szCs w:val="21"/>
              </w:rPr>
            </w:pPr>
            <w:r>
              <w:rPr>
                <w:rFonts w:hint="eastAsia" w:ascii="宋体" w:hAnsi="宋体" w:eastAsia="宋体"/>
                <w:szCs w:val="21"/>
              </w:rPr>
              <w:t>作业区光线不良，扣5分</w:t>
            </w:r>
          </w:p>
        </w:tc>
        <w:tc>
          <w:tcPr>
            <w:tcW w:w="851" w:type="dxa"/>
            <w:tcBorders>
              <w:top w:val="single" w:color="auto" w:sz="4" w:space="0"/>
              <w:left w:val="single" w:color="auto" w:sz="4" w:space="0"/>
              <w:bottom w:val="single" w:color="auto" w:sz="4" w:space="0"/>
              <w:right w:val="single" w:color="auto" w:sz="4" w:space="0"/>
            </w:tcBorders>
            <w:vAlign w:val="center"/>
          </w:tcPr>
          <w:p w14:paraId="1C82EC10">
            <w:pPr>
              <w:rPr>
                <w:rFonts w:hint="eastAsia" w:ascii="宋体" w:hAnsi="宋体" w:eastAsia="宋体"/>
                <w:szCs w:val="21"/>
              </w:rPr>
            </w:pPr>
            <w:r>
              <w:rPr>
                <w:rFonts w:hint="eastAsia" w:ascii="宋体" w:hAnsi="宋体" w:eastAsia="宋体"/>
                <w:szCs w:val="21"/>
              </w:rPr>
              <w:t>10</w:t>
            </w:r>
          </w:p>
        </w:tc>
        <w:tc>
          <w:tcPr>
            <w:tcW w:w="850" w:type="dxa"/>
            <w:tcBorders>
              <w:top w:val="single" w:color="auto" w:sz="4" w:space="0"/>
              <w:left w:val="single" w:color="auto" w:sz="4" w:space="0"/>
              <w:bottom w:val="single" w:color="auto" w:sz="4" w:space="0"/>
              <w:right w:val="single" w:color="auto" w:sz="4" w:space="0"/>
            </w:tcBorders>
            <w:vAlign w:val="center"/>
          </w:tcPr>
          <w:p w14:paraId="65F2CAA3">
            <w:pPr>
              <w:rPr>
                <w:rFonts w:hint="eastAsia" w:ascii="宋体" w:hAnsi="宋体" w:eastAsia="宋体"/>
                <w:szCs w:val="21"/>
              </w:rPr>
            </w:pPr>
          </w:p>
        </w:tc>
      </w:tr>
      <w:tr w14:paraId="1EFD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4" w:type="dxa"/>
            <w:gridSpan w:val="2"/>
            <w:tcBorders>
              <w:top w:val="single" w:color="auto" w:sz="4" w:space="0"/>
              <w:left w:val="single" w:color="auto" w:sz="4" w:space="0"/>
              <w:bottom w:val="single" w:color="auto" w:sz="4" w:space="0"/>
              <w:right w:val="single" w:color="auto" w:sz="4" w:space="0"/>
            </w:tcBorders>
            <w:vAlign w:val="center"/>
          </w:tcPr>
          <w:p w14:paraId="0C6C27D0">
            <w:pPr>
              <w:rPr>
                <w:rFonts w:hint="eastAsia" w:ascii="宋体" w:hAnsi="宋体" w:eastAsia="宋体"/>
                <w:szCs w:val="21"/>
              </w:rPr>
            </w:pPr>
            <w:r>
              <w:rPr>
                <w:rFonts w:hint="eastAsia" w:ascii="宋体" w:hAnsi="宋体" w:eastAsia="宋体"/>
                <w:szCs w:val="21"/>
              </w:rPr>
              <w:t>评价项目合计</w:t>
            </w:r>
          </w:p>
        </w:tc>
        <w:tc>
          <w:tcPr>
            <w:tcW w:w="5286" w:type="dxa"/>
            <w:tcBorders>
              <w:top w:val="single" w:color="auto" w:sz="4" w:space="0"/>
              <w:left w:val="single" w:color="auto" w:sz="4" w:space="0"/>
              <w:bottom w:val="single" w:color="auto" w:sz="4" w:space="0"/>
              <w:right w:val="single" w:color="auto" w:sz="4" w:space="0"/>
            </w:tcBorders>
            <w:vAlign w:val="center"/>
          </w:tcPr>
          <w:p w14:paraId="63BCA17B">
            <w:pPr>
              <w:rPr>
                <w:rFonts w:hint="eastAsia" w:ascii="宋体" w:hAnsi="宋体" w:eastAsia="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386CB2E">
            <w:pPr>
              <w:rPr>
                <w:rFonts w:hint="eastAsia" w:ascii="宋体" w:hAnsi="宋体" w:eastAsia="宋体"/>
                <w:szCs w:val="21"/>
              </w:rPr>
            </w:pPr>
            <w:r>
              <w:rPr>
                <w:rFonts w:hint="eastAsia" w:ascii="宋体" w:hAnsi="宋体" w:eastAsia="宋体"/>
                <w:szCs w:val="21"/>
              </w:rPr>
              <w:t>100</w:t>
            </w:r>
          </w:p>
        </w:tc>
        <w:tc>
          <w:tcPr>
            <w:tcW w:w="850" w:type="dxa"/>
            <w:tcBorders>
              <w:top w:val="single" w:color="auto" w:sz="4" w:space="0"/>
              <w:left w:val="single" w:color="auto" w:sz="4" w:space="0"/>
              <w:bottom w:val="single" w:color="auto" w:sz="4" w:space="0"/>
              <w:right w:val="single" w:color="auto" w:sz="4" w:space="0"/>
            </w:tcBorders>
            <w:vAlign w:val="center"/>
          </w:tcPr>
          <w:p w14:paraId="52D2E49F">
            <w:pPr>
              <w:rPr>
                <w:rFonts w:hint="eastAsia" w:ascii="宋体" w:hAnsi="宋体" w:eastAsia="宋体"/>
                <w:szCs w:val="21"/>
              </w:rPr>
            </w:pPr>
          </w:p>
        </w:tc>
      </w:tr>
    </w:tbl>
    <w:p w14:paraId="1A2A4535">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2B3986"/>
    <w:rsid w:val="003B424A"/>
    <w:rsid w:val="00790020"/>
    <w:rsid w:val="007A3060"/>
    <w:rsid w:val="00955EAB"/>
    <w:rsid w:val="00AC7E4B"/>
    <w:rsid w:val="00C04055"/>
    <w:rsid w:val="00CD5393"/>
    <w:rsid w:val="091E748C"/>
    <w:rsid w:val="106B7B0B"/>
    <w:rsid w:val="1AE30647"/>
    <w:rsid w:val="1F42547E"/>
    <w:rsid w:val="344A2506"/>
    <w:rsid w:val="37EB3D77"/>
    <w:rsid w:val="3A7C2C66"/>
    <w:rsid w:val="3AF17201"/>
    <w:rsid w:val="3B6350D8"/>
    <w:rsid w:val="43BA782C"/>
    <w:rsid w:val="4B6821BF"/>
    <w:rsid w:val="510B6982"/>
    <w:rsid w:val="520B300D"/>
    <w:rsid w:val="55CE0A69"/>
    <w:rsid w:val="662F2CD7"/>
    <w:rsid w:val="665B5A0A"/>
    <w:rsid w:val="6DDF49CF"/>
    <w:rsid w:val="6F7067F2"/>
    <w:rsid w:val="725B7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1872</Words>
  <Characters>1937</Characters>
  <Lines>137</Lines>
  <Paragraphs>120</Paragraphs>
  <TotalTime>6</TotalTime>
  <ScaleCrop>false</ScaleCrop>
  <LinksUpToDate>false</LinksUpToDate>
  <CharactersWithSpaces>1942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2025-05-02T02:35:00Z</dcterms:created>
  <dc:creator>航 吴</dc:creator>
  <cp:lastModifiedBy>吴航</cp:lastModifiedBy>
  <dcterms:modified xsi:type="dcterms:W3CDTF">2025-06-03T01:18:23Z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eyJoZGlkIjoiMWQ3OTk5ODcyNTVmNmM0NTdmMWJlNzA5Y2U0ZmJlYWIiLCJ1c2VySWQiOiI1Njc5NDE1ODIifQ==</vt:lpwstr>
  </property>
  <property fmtid="{D5CDD505-2E9C-101B-9397-08002B2CF9AE}" pid="3" name="KSOProductBuildVer">
    <vt:lpwstr>2052-12.1.0.20784</vt:lpwstr>
  </property>
  <property fmtid="{D5CDD505-2E9C-101B-9397-08002B2CF9AE}" pid="4" name="ICV">
    <vt:lpwstr>67A38D0309BA492C8A87BDE955AA3BC7_12</vt:lpwstr>
  </property>
</Properties>
</file>