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460F1" w14:textId="58175324" w:rsidR="002F2449" w:rsidRDefault="00E675CA">
      <w:pPr>
        <w:jc w:val="center"/>
        <w:rPr>
          <w:rFonts w:ascii="宋体" w:eastAsia="宋体" w:hAnsi="宋体" w:cs="宋体" w:hint="eastAsia"/>
          <w:b/>
          <w:spacing w:val="15"/>
          <w:kern w:val="0"/>
          <w:sz w:val="28"/>
          <w:szCs w:val="28"/>
        </w:rPr>
      </w:pPr>
      <w:r w:rsidRPr="00E675CA">
        <w:rPr>
          <w:rFonts w:ascii="宋体" w:eastAsia="宋体" w:hAnsi="宋体" w:cs="宋体" w:hint="eastAsia"/>
          <w:b/>
          <w:spacing w:val="15"/>
          <w:kern w:val="0"/>
          <w:sz w:val="28"/>
          <w:szCs w:val="28"/>
        </w:rPr>
        <w:t>市政</w:t>
      </w:r>
      <w:r>
        <w:rPr>
          <w:rFonts w:ascii="宋体" w:eastAsia="宋体" w:hAnsi="宋体" w:cs="宋体" w:hint="eastAsia"/>
          <w:b/>
          <w:spacing w:val="15"/>
          <w:kern w:val="0"/>
          <w:sz w:val="28"/>
          <w:szCs w:val="28"/>
        </w:rPr>
        <w:t>表B2</w:t>
      </w:r>
      <w:r w:rsidR="009F20E1">
        <w:rPr>
          <w:rFonts w:ascii="宋体" w:eastAsia="宋体" w:hAnsi="宋体" w:cs="宋体" w:hint="eastAsia"/>
          <w:b/>
          <w:spacing w:val="15"/>
          <w:kern w:val="0"/>
          <w:sz w:val="28"/>
          <w:szCs w:val="28"/>
        </w:rPr>
        <w:t>3</w:t>
      </w:r>
      <w:r>
        <w:rPr>
          <w:rFonts w:ascii="宋体" w:eastAsia="宋体" w:hAnsi="宋体" w:cs="宋体" w:hint="eastAsia"/>
          <w:b/>
          <w:spacing w:val="15"/>
          <w:kern w:val="0"/>
          <w:sz w:val="28"/>
          <w:szCs w:val="28"/>
        </w:rPr>
        <w:t xml:space="preserve">  施工机具评价评分表</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071"/>
        <w:gridCol w:w="5657"/>
        <w:gridCol w:w="720"/>
        <w:gridCol w:w="720"/>
        <w:gridCol w:w="720"/>
      </w:tblGrid>
      <w:tr w:rsidR="002F2449" w14:paraId="19C14F44" w14:textId="77777777">
        <w:trPr>
          <w:trHeight w:val="461"/>
        </w:trPr>
        <w:tc>
          <w:tcPr>
            <w:tcW w:w="652" w:type="dxa"/>
            <w:tcBorders>
              <w:tl2br w:val="nil"/>
              <w:tr2bl w:val="nil"/>
            </w:tcBorders>
            <w:vAlign w:val="center"/>
          </w:tcPr>
          <w:p w14:paraId="00B25D3C"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序号</w:t>
            </w:r>
          </w:p>
        </w:tc>
        <w:tc>
          <w:tcPr>
            <w:tcW w:w="1071" w:type="dxa"/>
            <w:tcBorders>
              <w:tl2br w:val="nil"/>
              <w:tr2bl w:val="nil"/>
            </w:tcBorders>
            <w:vAlign w:val="center"/>
          </w:tcPr>
          <w:p w14:paraId="60AFB677"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评价项目</w:t>
            </w:r>
          </w:p>
        </w:tc>
        <w:tc>
          <w:tcPr>
            <w:tcW w:w="5657" w:type="dxa"/>
            <w:tcBorders>
              <w:tl2br w:val="nil"/>
              <w:tr2bl w:val="nil"/>
            </w:tcBorders>
            <w:vAlign w:val="center"/>
          </w:tcPr>
          <w:p w14:paraId="324ED83D"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扣分标准</w:t>
            </w:r>
          </w:p>
        </w:tc>
        <w:tc>
          <w:tcPr>
            <w:tcW w:w="720" w:type="dxa"/>
            <w:tcBorders>
              <w:tl2br w:val="nil"/>
              <w:tr2bl w:val="nil"/>
            </w:tcBorders>
            <w:vAlign w:val="center"/>
          </w:tcPr>
          <w:p w14:paraId="4C438987"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应得分数</w:t>
            </w:r>
          </w:p>
        </w:tc>
        <w:tc>
          <w:tcPr>
            <w:tcW w:w="720" w:type="dxa"/>
            <w:tcBorders>
              <w:tl2br w:val="nil"/>
              <w:tr2bl w:val="nil"/>
            </w:tcBorders>
            <w:vAlign w:val="center"/>
          </w:tcPr>
          <w:p w14:paraId="33D2793D"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扣减</w:t>
            </w:r>
          </w:p>
          <w:p w14:paraId="64ED1404"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分数</w:t>
            </w:r>
          </w:p>
        </w:tc>
        <w:tc>
          <w:tcPr>
            <w:tcW w:w="720" w:type="dxa"/>
            <w:tcBorders>
              <w:tl2br w:val="nil"/>
              <w:tr2bl w:val="nil"/>
            </w:tcBorders>
            <w:vAlign w:val="center"/>
          </w:tcPr>
          <w:p w14:paraId="24562662"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实得</w:t>
            </w:r>
          </w:p>
          <w:p w14:paraId="391F23F0"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分数</w:t>
            </w:r>
          </w:p>
        </w:tc>
      </w:tr>
      <w:tr w:rsidR="002F2449" w14:paraId="37B4A9F0" w14:textId="77777777">
        <w:trPr>
          <w:trHeight w:val="1543"/>
        </w:trPr>
        <w:tc>
          <w:tcPr>
            <w:tcW w:w="652" w:type="dxa"/>
            <w:tcBorders>
              <w:tl2br w:val="nil"/>
              <w:tr2bl w:val="nil"/>
            </w:tcBorders>
            <w:vAlign w:val="center"/>
          </w:tcPr>
          <w:p w14:paraId="4AA7081D"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1</w:t>
            </w:r>
          </w:p>
        </w:tc>
        <w:tc>
          <w:tcPr>
            <w:tcW w:w="1071" w:type="dxa"/>
            <w:tcBorders>
              <w:tl2br w:val="nil"/>
              <w:tr2bl w:val="nil"/>
            </w:tcBorders>
            <w:vAlign w:val="center"/>
          </w:tcPr>
          <w:p w14:paraId="3AD832E3"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平刨</w:t>
            </w:r>
          </w:p>
        </w:tc>
        <w:tc>
          <w:tcPr>
            <w:tcW w:w="5657" w:type="dxa"/>
            <w:tcBorders>
              <w:tl2br w:val="nil"/>
              <w:tr2bl w:val="nil"/>
            </w:tcBorders>
            <w:vAlign w:val="center"/>
          </w:tcPr>
          <w:p w14:paraId="7642003E"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平刨安装后未履行验收程序，扣5分</w:t>
            </w:r>
          </w:p>
          <w:p w14:paraId="146DC3C1"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未设置护手安全装置，扣5分</w:t>
            </w:r>
          </w:p>
          <w:p w14:paraId="30DF9107"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传动部位未设置防护罩，扣5分</w:t>
            </w:r>
          </w:p>
          <w:p w14:paraId="0EBAB0CB"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未接</w:t>
            </w:r>
            <w:r>
              <w:rPr>
                <w:rFonts w:ascii="宋体" w:eastAsia="宋体" w:hAnsi="宋体" w:cs="宋体" w:hint="eastAsia"/>
                <w:szCs w:val="21"/>
              </w:rPr>
              <w:t>保护接地导体(PE)</w:t>
            </w:r>
            <w:r>
              <w:rPr>
                <w:rFonts w:ascii="宋体" w:eastAsia="宋体" w:hAnsi="宋体" w:cs="宋体" w:hint="eastAsia"/>
                <w:color w:val="000000"/>
                <w:szCs w:val="21"/>
              </w:rPr>
              <w:t>或未</w:t>
            </w:r>
            <w:r>
              <w:rPr>
                <w:rFonts w:ascii="宋体" w:eastAsia="宋体" w:hAnsi="宋体" w:cs="宋体" w:hint="eastAsia"/>
                <w:szCs w:val="21"/>
              </w:rPr>
              <w:t>设置剩余电流动作保护器</w:t>
            </w:r>
            <w:r>
              <w:rPr>
                <w:rFonts w:ascii="宋体" w:eastAsia="宋体" w:hAnsi="宋体" w:cs="宋体" w:hint="eastAsia"/>
                <w:color w:val="000000"/>
                <w:szCs w:val="21"/>
              </w:rPr>
              <w:t>，扣8分</w:t>
            </w:r>
          </w:p>
          <w:p w14:paraId="4CAB9A73"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未设置安全作业（防护）棚扣6分</w:t>
            </w:r>
          </w:p>
          <w:p w14:paraId="62EB56D9"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使用多功能木工机具，扣8分</w:t>
            </w:r>
          </w:p>
        </w:tc>
        <w:tc>
          <w:tcPr>
            <w:tcW w:w="720" w:type="dxa"/>
            <w:tcBorders>
              <w:tl2br w:val="nil"/>
              <w:tr2bl w:val="nil"/>
            </w:tcBorders>
            <w:vAlign w:val="center"/>
          </w:tcPr>
          <w:p w14:paraId="56E5AFD2"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8</w:t>
            </w:r>
          </w:p>
        </w:tc>
        <w:tc>
          <w:tcPr>
            <w:tcW w:w="720" w:type="dxa"/>
            <w:tcBorders>
              <w:tl2br w:val="nil"/>
              <w:tr2bl w:val="nil"/>
            </w:tcBorders>
            <w:vAlign w:val="center"/>
          </w:tcPr>
          <w:p w14:paraId="0694E143"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p>
        </w:tc>
        <w:tc>
          <w:tcPr>
            <w:tcW w:w="720" w:type="dxa"/>
            <w:tcBorders>
              <w:tl2br w:val="nil"/>
              <w:tr2bl w:val="nil"/>
            </w:tcBorders>
            <w:vAlign w:val="center"/>
          </w:tcPr>
          <w:p w14:paraId="05A2B8F6"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p>
        </w:tc>
      </w:tr>
      <w:tr w:rsidR="002F2449" w14:paraId="50556E5B" w14:textId="77777777">
        <w:trPr>
          <w:trHeight w:val="1237"/>
        </w:trPr>
        <w:tc>
          <w:tcPr>
            <w:tcW w:w="652" w:type="dxa"/>
            <w:tcBorders>
              <w:tl2br w:val="nil"/>
              <w:tr2bl w:val="nil"/>
            </w:tcBorders>
            <w:vAlign w:val="center"/>
          </w:tcPr>
          <w:p w14:paraId="5E6D6E89"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2</w:t>
            </w:r>
          </w:p>
        </w:tc>
        <w:tc>
          <w:tcPr>
            <w:tcW w:w="1071" w:type="dxa"/>
            <w:tcBorders>
              <w:tl2br w:val="nil"/>
              <w:tr2bl w:val="nil"/>
            </w:tcBorders>
            <w:vAlign w:val="center"/>
          </w:tcPr>
          <w:p w14:paraId="375D3E1B"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圆盘锯</w:t>
            </w:r>
          </w:p>
        </w:tc>
        <w:tc>
          <w:tcPr>
            <w:tcW w:w="5657" w:type="dxa"/>
            <w:tcBorders>
              <w:tl2br w:val="nil"/>
              <w:tr2bl w:val="nil"/>
            </w:tcBorders>
            <w:vAlign w:val="center"/>
          </w:tcPr>
          <w:p w14:paraId="11479C75"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kern w:val="0"/>
                <w:szCs w:val="21"/>
              </w:rPr>
              <w:t>圆盘锯</w:t>
            </w:r>
            <w:r>
              <w:rPr>
                <w:rFonts w:ascii="宋体" w:eastAsia="宋体" w:hAnsi="宋体" w:cs="宋体" w:hint="eastAsia"/>
                <w:color w:val="000000"/>
                <w:szCs w:val="21"/>
              </w:rPr>
              <w:t>安装后未履行验收程序，扣5分</w:t>
            </w:r>
          </w:p>
          <w:p w14:paraId="4D53B4E0"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未设置锯盘护罩、分料器、防护挡板安全装置和传动部位未设置防护罩，每处扣3分</w:t>
            </w:r>
          </w:p>
          <w:p w14:paraId="029932D5"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未接</w:t>
            </w:r>
            <w:r>
              <w:rPr>
                <w:rFonts w:ascii="宋体" w:eastAsia="宋体" w:hAnsi="宋体" w:cs="宋体" w:hint="eastAsia"/>
                <w:szCs w:val="21"/>
              </w:rPr>
              <w:t>保护接地导体(PE)</w:t>
            </w:r>
            <w:r>
              <w:rPr>
                <w:rFonts w:ascii="宋体" w:eastAsia="宋体" w:hAnsi="宋体" w:cs="宋体" w:hint="eastAsia"/>
                <w:color w:val="000000"/>
                <w:szCs w:val="21"/>
              </w:rPr>
              <w:t>或未</w:t>
            </w:r>
            <w:r>
              <w:rPr>
                <w:rFonts w:ascii="宋体" w:eastAsia="宋体" w:hAnsi="宋体" w:cs="宋体" w:hint="eastAsia"/>
                <w:szCs w:val="21"/>
              </w:rPr>
              <w:t>设置剩余电流动作保护器</w:t>
            </w:r>
            <w:r>
              <w:rPr>
                <w:rFonts w:ascii="宋体" w:eastAsia="宋体" w:hAnsi="宋体" w:cs="宋体" w:hint="eastAsia"/>
                <w:color w:val="000000"/>
                <w:szCs w:val="21"/>
              </w:rPr>
              <w:t>，扣10分</w:t>
            </w:r>
          </w:p>
          <w:p w14:paraId="7C8FA2C1"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未设置安全作业（防护）棚，扣6分</w:t>
            </w:r>
          </w:p>
          <w:p w14:paraId="752704D9"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使用多功能木工机具，扣10分</w:t>
            </w:r>
          </w:p>
        </w:tc>
        <w:tc>
          <w:tcPr>
            <w:tcW w:w="720" w:type="dxa"/>
            <w:tcBorders>
              <w:tl2br w:val="nil"/>
              <w:tr2bl w:val="nil"/>
            </w:tcBorders>
            <w:vAlign w:val="center"/>
          </w:tcPr>
          <w:p w14:paraId="2629D415"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10</w:t>
            </w:r>
          </w:p>
        </w:tc>
        <w:tc>
          <w:tcPr>
            <w:tcW w:w="720" w:type="dxa"/>
            <w:tcBorders>
              <w:tl2br w:val="nil"/>
              <w:tr2bl w:val="nil"/>
            </w:tcBorders>
            <w:vAlign w:val="center"/>
          </w:tcPr>
          <w:p w14:paraId="7B2C965D"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p>
        </w:tc>
        <w:tc>
          <w:tcPr>
            <w:tcW w:w="720" w:type="dxa"/>
            <w:tcBorders>
              <w:tl2br w:val="nil"/>
              <w:tr2bl w:val="nil"/>
            </w:tcBorders>
            <w:vAlign w:val="center"/>
          </w:tcPr>
          <w:p w14:paraId="70F70388"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p>
        </w:tc>
      </w:tr>
      <w:tr w:rsidR="002F2449" w14:paraId="41110CB1" w14:textId="77777777">
        <w:trPr>
          <w:trHeight w:val="616"/>
        </w:trPr>
        <w:tc>
          <w:tcPr>
            <w:tcW w:w="652" w:type="dxa"/>
            <w:tcBorders>
              <w:tl2br w:val="nil"/>
              <w:tr2bl w:val="nil"/>
            </w:tcBorders>
            <w:vAlign w:val="center"/>
          </w:tcPr>
          <w:p w14:paraId="6AD19864"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3</w:t>
            </w:r>
          </w:p>
        </w:tc>
        <w:tc>
          <w:tcPr>
            <w:tcW w:w="1071" w:type="dxa"/>
            <w:tcBorders>
              <w:tl2br w:val="nil"/>
              <w:tr2bl w:val="nil"/>
            </w:tcBorders>
            <w:vAlign w:val="center"/>
          </w:tcPr>
          <w:p w14:paraId="232A886D"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手持电动</w:t>
            </w:r>
          </w:p>
          <w:p w14:paraId="100D5408"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工具</w:t>
            </w:r>
          </w:p>
        </w:tc>
        <w:tc>
          <w:tcPr>
            <w:tcW w:w="5657" w:type="dxa"/>
            <w:tcBorders>
              <w:tl2br w:val="nil"/>
              <w:tr2bl w:val="nil"/>
            </w:tcBorders>
            <w:vAlign w:val="center"/>
          </w:tcPr>
          <w:p w14:paraId="77284353"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Ⅰ类手持电动工具未接</w:t>
            </w:r>
            <w:r>
              <w:rPr>
                <w:rFonts w:ascii="宋体" w:eastAsia="宋体" w:hAnsi="宋体" w:cs="宋体" w:hint="eastAsia"/>
                <w:szCs w:val="21"/>
              </w:rPr>
              <w:t>保护接地导体(PE)</w:t>
            </w:r>
            <w:r>
              <w:rPr>
                <w:rFonts w:ascii="宋体" w:eastAsia="宋体" w:hAnsi="宋体" w:cs="宋体" w:hint="eastAsia"/>
                <w:color w:val="000000"/>
                <w:szCs w:val="21"/>
              </w:rPr>
              <w:t>或未</w:t>
            </w:r>
            <w:r>
              <w:rPr>
                <w:rFonts w:ascii="宋体" w:eastAsia="宋体" w:hAnsi="宋体" w:cs="宋体" w:hint="eastAsia"/>
                <w:szCs w:val="21"/>
              </w:rPr>
              <w:t>设置剩余电流动作保护器</w:t>
            </w:r>
            <w:r>
              <w:rPr>
                <w:rFonts w:ascii="宋体" w:eastAsia="宋体" w:hAnsi="宋体" w:cs="宋体" w:hint="eastAsia"/>
                <w:color w:val="000000"/>
                <w:szCs w:val="21"/>
              </w:rPr>
              <w:t>，扣8分</w:t>
            </w:r>
          </w:p>
          <w:p w14:paraId="3DC29324"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使用Ⅰ类手持电动工具不按规定穿戴绝缘用品，扣6分</w:t>
            </w:r>
          </w:p>
          <w:p w14:paraId="0A0AA6BA"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手持电动工具随意接长电源线，扣4分</w:t>
            </w:r>
          </w:p>
        </w:tc>
        <w:tc>
          <w:tcPr>
            <w:tcW w:w="720" w:type="dxa"/>
            <w:tcBorders>
              <w:tl2br w:val="nil"/>
              <w:tr2bl w:val="nil"/>
            </w:tcBorders>
            <w:vAlign w:val="center"/>
          </w:tcPr>
          <w:p w14:paraId="57AF13E0"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8</w:t>
            </w:r>
          </w:p>
        </w:tc>
        <w:tc>
          <w:tcPr>
            <w:tcW w:w="720" w:type="dxa"/>
            <w:tcBorders>
              <w:tl2br w:val="nil"/>
              <w:tr2bl w:val="nil"/>
            </w:tcBorders>
            <w:vAlign w:val="center"/>
          </w:tcPr>
          <w:p w14:paraId="28EFEE29"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p>
        </w:tc>
        <w:tc>
          <w:tcPr>
            <w:tcW w:w="720" w:type="dxa"/>
            <w:tcBorders>
              <w:tl2br w:val="nil"/>
              <w:tr2bl w:val="nil"/>
            </w:tcBorders>
            <w:vAlign w:val="center"/>
          </w:tcPr>
          <w:p w14:paraId="5322492E" w14:textId="77777777" w:rsidR="002F2449" w:rsidRDefault="00000000">
            <w:pPr>
              <w:widowControl/>
              <w:spacing w:line="340" w:lineRule="exact"/>
              <w:ind w:rightChars="137" w:right="288"/>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p>
        </w:tc>
      </w:tr>
      <w:tr w:rsidR="002F2449" w14:paraId="4A257A0D" w14:textId="77777777">
        <w:trPr>
          <w:trHeight w:val="1077"/>
        </w:trPr>
        <w:tc>
          <w:tcPr>
            <w:tcW w:w="652" w:type="dxa"/>
            <w:tcBorders>
              <w:tl2br w:val="nil"/>
              <w:tr2bl w:val="nil"/>
            </w:tcBorders>
            <w:vAlign w:val="center"/>
          </w:tcPr>
          <w:p w14:paraId="6CEF163F"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4</w:t>
            </w:r>
          </w:p>
        </w:tc>
        <w:tc>
          <w:tcPr>
            <w:tcW w:w="1071" w:type="dxa"/>
            <w:tcBorders>
              <w:tl2br w:val="nil"/>
              <w:tr2bl w:val="nil"/>
            </w:tcBorders>
            <w:vAlign w:val="center"/>
          </w:tcPr>
          <w:p w14:paraId="14B813F5"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钢筋</w:t>
            </w:r>
          </w:p>
          <w:p w14:paraId="48711104"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机械</w:t>
            </w:r>
          </w:p>
        </w:tc>
        <w:tc>
          <w:tcPr>
            <w:tcW w:w="5657" w:type="dxa"/>
            <w:tcBorders>
              <w:tl2br w:val="nil"/>
              <w:tr2bl w:val="nil"/>
            </w:tcBorders>
            <w:vAlign w:val="center"/>
          </w:tcPr>
          <w:p w14:paraId="26397594"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机械安装后未履行验收程序，扣5分</w:t>
            </w:r>
          </w:p>
          <w:p w14:paraId="76A847E6"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未接</w:t>
            </w:r>
            <w:r>
              <w:rPr>
                <w:rFonts w:ascii="宋体" w:eastAsia="宋体" w:hAnsi="宋体" w:cs="宋体" w:hint="eastAsia"/>
                <w:szCs w:val="21"/>
              </w:rPr>
              <w:t>保护接地导体(PE)或未设置剩余电流动作保护器</w:t>
            </w:r>
            <w:r>
              <w:rPr>
                <w:rFonts w:ascii="宋体" w:eastAsia="宋体" w:hAnsi="宋体" w:cs="宋体" w:hint="eastAsia"/>
                <w:color w:val="000000"/>
                <w:szCs w:val="21"/>
              </w:rPr>
              <w:t>，扣10分</w:t>
            </w:r>
          </w:p>
          <w:p w14:paraId="01B867FB"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钢筋加工区未设置作业（防护）棚，钢筋对焊作业区未采取防止火花飞溅措施或冷拉作业区未设置防护栏，每处扣5分</w:t>
            </w:r>
          </w:p>
          <w:p w14:paraId="6B246B44"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传动部位未设置防护罩，扣5分</w:t>
            </w:r>
          </w:p>
        </w:tc>
        <w:tc>
          <w:tcPr>
            <w:tcW w:w="720" w:type="dxa"/>
            <w:tcBorders>
              <w:tl2br w:val="nil"/>
              <w:tr2bl w:val="nil"/>
            </w:tcBorders>
            <w:vAlign w:val="center"/>
          </w:tcPr>
          <w:p w14:paraId="2FFCD1F4"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10</w:t>
            </w:r>
          </w:p>
        </w:tc>
        <w:tc>
          <w:tcPr>
            <w:tcW w:w="720" w:type="dxa"/>
            <w:tcBorders>
              <w:tl2br w:val="nil"/>
              <w:tr2bl w:val="nil"/>
            </w:tcBorders>
            <w:vAlign w:val="center"/>
          </w:tcPr>
          <w:p w14:paraId="3558353B"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p>
        </w:tc>
        <w:tc>
          <w:tcPr>
            <w:tcW w:w="720" w:type="dxa"/>
            <w:tcBorders>
              <w:tl2br w:val="nil"/>
              <w:tr2bl w:val="nil"/>
            </w:tcBorders>
            <w:vAlign w:val="center"/>
          </w:tcPr>
          <w:p w14:paraId="20AC3378"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p>
        </w:tc>
      </w:tr>
      <w:tr w:rsidR="002F2449" w14:paraId="3F7FD03E" w14:textId="77777777">
        <w:trPr>
          <w:trHeight w:val="1544"/>
        </w:trPr>
        <w:tc>
          <w:tcPr>
            <w:tcW w:w="652" w:type="dxa"/>
            <w:tcBorders>
              <w:tl2br w:val="nil"/>
              <w:tr2bl w:val="nil"/>
            </w:tcBorders>
            <w:vAlign w:val="center"/>
          </w:tcPr>
          <w:p w14:paraId="10B9F90F"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5</w:t>
            </w:r>
          </w:p>
        </w:tc>
        <w:tc>
          <w:tcPr>
            <w:tcW w:w="1071" w:type="dxa"/>
            <w:tcBorders>
              <w:tl2br w:val="nil"/>
              <w:tr2bl w:val="nil"/>
            </w:tcBorders>
            <w:vAlign w:val="center"/>
          </w:tcPr>
          <w:p w14:paraId="2149B3D7"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电焊机</w:t>
            </w:r>
          </w:p>
        </w:tc>
        <w:tc>
          <w:tcPr>
            <w:tcW w:w="5657" w:type="dxa"/>
            <w:tcBorders>
              <w:tl2br w:val="nil"/>
              <w:tr2bl w:val="nil"/>
            </w:tcBorders>
            <w:vAlign w:val="center"/>
          </w:tcPr>
          <w:p w14:paraId="2C9A2839"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电焊机安装后未履行验收程序，扣5分</w:t>
            </w:r>
          </w:p>
          <w:p w14:paraId="5EE43B98"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未接</w:t>
            </w:r>
            <w:r>
              <w:rPr>
                <w:rFonts w:ascii="宋体" w:eastAsia="宋体" w:hAnsi="宋体" w:cs="宋体" w:hint="eastAsia"/>
                <w:szCs w:val="21"/>
              </w:rPr>
              <w:t>保护接地导体(PE)或未设置剩余电流动作保护器</w:t>
            </w:r>
            <w:r>
              <w:rPr>
                <w:rFonts w:ascii="宋体" w:eastAsia="宋体" w:hAnsi="宋体" w:cs="宋体" w:hint="eastAsia"/>
                <w:color w:val="000000"/>
                <w:szCs w:val="21"/>
              </w:rPr>
              <w:t>，扣10分</w:t>
            </w:r>
          </w:p>
          <w:p w14:paraId="6945B64D"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未设置二次空载降压保护器，扣,10分</w:t>
            </w:r>
          </w:p>
          <w:p w14:paraId="212961B7"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一次线长度超过规定或未进行穿管保护，扣3分</w:t>
            </w:r>
          </w:p>
          <w:p w14:paraId="2685FA20"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二次线未采用防水橡皮护套铜芯软电缆，扣10分</w:t>
            </w:r>
          </w:p>
          <w:p w14:paraId="1D9B4CAB"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二次线长度超过规定或绝缘层老化，扣3分</w:t>
            </w:r>
          </w:p>
          <w:p w14:paraId="70324922"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电焊机未设置防雨罩或接线柱未设置防护罩，扣5分</w:t>
            </w:r>
          </w:p>
        </w:tc>
        <w:tc>
          <w:tcPr>
            <w:tcW w:w="720" w:type="dxa"/>
            <w:tcBorders>
              <w:tl2br w:val="nil"/>
              <w:tr2bl w:val="nil"/>
            </w:tcBorders>
            <w:vAlign w:val="center"/>
          </w:tcPr>
          <w:p w14:paraId="01A56BD9"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10</w:t>
            </w:r>
          </w:p>
        </w:tc>
        <w:tc>
          <w:tcPr>
            <w:tcW w:w="720" w:type="dxa"/>
            <w:tcBorders>
              <w:tl2br w:val="nil"/>
              <w:tr2bl w:val="nil"/>
            </w:tcBorders>
            <w:vAlign w:val="center"/>
          </w:tcPr>
          <w:p w14:paraId="52E2999F"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p>
        </w:tc>
        <w:tc>
          <w:tcPr>
            <w:tcW w:w="720" w:type="dxa"/>
            <w:tcBorders>
              <w:tl2br w:val="nil"/>
              <w:tr2bl w:val="nil"/>
            </w:tcBorders>
            <w:vAlign w:val="center"/>
          </w:tcPr>
          <w:p w14:paraId="4EC5A1BC"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p>
        </w:tc>
      </w:tr>
      <w:tr w:rsidR="002F2449" w14:paraId="376A10ED" w14:textId="77777777">
        <w:trPr>
          <w:trHeight w:val="1459"/>
        </w:trPr>
        <w:tc>
          <w:tcPr>
            <w:tcW w:w="652" w:type="dxa"/>
            <w:tcBorders>
              <w:tl2br w:val="nil"/>
              <w:tr2bl w:val="nil"/>
            </w:tcBorders>
            <w:vAlign w:val="center"/>
          </w:tcPr>
          <w:p w14:paraId="6852A762"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6</w:t>
            </w:r>
          </w:p>
        </w:tc>
        <w:tc>
          <w:tcPr>
            <w:tcW w:w="1071" w:type="dxa"/>
            <w:tcBorders>
              <w:tl2br w:val="nil"/>
              <w:tr2bl w:val="nil"/>
            </w:tcBorders>
            <w:vAlign w:val="center"/>
          </w:tcPr>
          <w:p w14:paraId="03C26974"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搅拌机</w:t>
            </w:r>
          </w:p>
        </w:tc>
        <w:tc>
          <w:tcPr>
            <w:tcW w:w="5657" w:type="dxa"/>
            <w:tcBorders>
              <w:tl2br w:val="nil"/>
              <w:tr2bl w:val="nil"/>
            </w:tcBorders>
            <w:vAlign w:val="center"/>
          </w:tcPr>
          <w:p w14:paraId="74F76E24"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搅拌机安装后未履行验收程序，扣5分</w:t>
            </w:r>
          </w:p>
          <w:p w14:paraId="3DE548BD"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未接</w:t>
            </w:r>
            <w:r>
              <w:rPr>
                <w:rFonts w:ascii="宋体" w:eastAsia="宋体" w:hAnsi="宋体" w:cs="宋体" w:hint="eastAsia"/>
                <w:szCs w:val="21"/>
              </w:rPr>
              <w:t>保护接地导体(PE)</w:t>
            </w:r>
            <w:r>
              <w:rPr>
                <w:rFonts w:ascii="宋体" w:eastAsia="宋体" w:hAnsi="宋体" w:cs="宋体" w:hint="eastAsia"/>
                <w:color w:val="000000"/>
                <w:szCs w:val="21"/>
              </w:rPr>
              <w:t>或未设置</w:t>
            </w:r>
            <w:r>
              <w:rPr>
                <w:rFonts w:ascii="宋体" w:eastAsia="宋体" w:hAnsi="宋体" w:cs="宋体" w:hint="eastAsia"/>
                <w:szCs w:val="21"/>
              </w:rPr>
              <w:t>剩余电流动作保护器</w:t>
            </w:r>
            <w:r>
              <w:rPr>
                <w:rFonts w:ascii="宋体" w:eastAsia="宋体" w:hAnsi="宋体" w:cs="宋体" w:hint="eastAsia"/>
                <w:color w:val="000000"/>
                <w:szCs w:val="21"/>
              </w:rPr>
              <w:t>，扣10分</w:t>
            </w:r>
          </w:p>
          <w:p w14:paraId="076582A1"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离合器、制动器、钢丝绳达不到规定要求，每项扣5分</w:t>
            </w:r>
          </w:p>
          <w:p w14:paraId="6215B14D"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lastRenderedPageBreak/>
              <w:t>上料斗未设置安全挂钩或止挡装置，扣5分</w:t>
            </w:r>
          </w:p>
          <w:p w14:paraId="5F262778"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传动部位未设置防护罩，扣4分</w:t>
            </w:r>
          </w:p>
          <w:p w14:paraId="6F7A2C1B"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未设置安全作业（防护）棚，扣6分</w:t>
            </w:r>
          </w:p>
        </w:tc>
        <w:tc>
          <w:tcPr>
            <w:tcW w:w="720" w:type="dxa"/>
            <w:tcBorders>
              <w:tl2br w:val="nil"/>
              <w:tr2bl w:val="nil"/>
            </w:tcBorders>
            <w:vAlign w:val="center"/>
          </w:tcPr>
          <w:p w14:paraId="6BF367C4"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lastRenderedPageBreak/>
              <w:t>10</w:t>
            </w:r>
          </w:p>
        </w:tc>
        <w:tc>
          <w:tcPr>
            <w:tcW w:w="720" w:type="dxa"/>
            <w:tcBorders>
              <w:tl2br w:val="nil"/>
              <w:tr2bl w:val="nil"/>
            </w:tcBorders>
            <w:vAlign w:val="center"/>
          </w:tcPr>
          <w:p w14:paraId="2917BAA3" w14:textId="77777777" w:rsidR="002F2449" w:rsidRDefault="00000000">
            <w:pPr>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p>
        </w:tc>
        <w:tc>
          <w:tcPr>
            <w:tcW w:w="720" w:type="dxa"/>
            <w:tcBorders>
              <w:tl2br w:val="nil"/>
              <w:tr2bl w:val="nil"/>
            </w:tcBorders>
            <w:vAlign w:val="center"/>
          </w:tcPr>
          <w:p w14:paraId="14F3E373" w14:textId="77777777" w:rsidR="002F2449" w:rsidRDefault="002F2449">
            <w:pPr>
              <w:widowControl/>
              <w:spacing w:line="340" w:lineRule="exact"/>
              <w:jc w:val="center"/>
              <w:rPr>
                <w:rFonts w:ascii="宋体" w:eastAsia="宋体" w:hAnsi="宋体" w:cs="宋体" w:hint="eastAsia"/>
                <w:color w:val="000000"/>
                <w:kern w:val="0"/>
                <w:szCs w:val="21"/>
              </w:rPr>
            </w:pPr>
          </w:p>
        </w:tc>
      </w:tr>
      <w:tr w:rsidR="002F2449" w14:paraId="1AF757B9" w14:textId="77777777">
        <w:trPr>
          <w:trHeight w:val="610"/>
        </w:trPr>
        <w:tc>
          <w:tcPr>
            <w:tcW w:w="652" w:type="dxa"/>
            <w:tcBorders>
              <w:tl2br w:val="nil"/>
              <w:tr2bl w:val="nil"/>
            </w:tcBorders>
            <w:vAlign w:val="center"/>
          </w:tcPr>
          <w:p w14:paraId="0AA15AD7"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7</w:t>
            </w:r>
          </w:p>
        </w:tc>
        <w:tc>
          <w:tcPr>
            <w:tcW w:w="1071" w:type="dxa"/>
            <w:tcBorders>
              <w:tl2br w:val="nil"/>
              <w:tr2bl w:val="nil"/>
            </w:tcBorders>
            <w:vAlign w:val="center"/>
          </w:tcPr>
          <w:p w14:paraId="50E3869C"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翻斗车</w:t>
            </w:r>
          </w:p>
        </w:tc>
        <w:tc>
          <w:tcPr>
            <w:tcW w:w="5657" w:type="dxa"/>
            <w:tcBorders>
              <w:tl2br w:val="nil"/>
              <w:tr2bl w:val="nil"/>
            </w:tcBorders>
            <w:vAlign w:val="center"/>
          </w:tcPr>
          <w:p w14:paraId="651EAC33"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翻斗车制动、转向装置不灵敏，扣5分</w:t>
            </w:r>
          </w:p>
          <w:p w14:paraId="12AEE64B"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驾驶员无证操作，扣8分</w:t>
            </w:r>
          </w:p>
          <w:p w14:paraId="61EC1726"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行车载人或违章行车，扣,8分</w:t>
            </w:r>
          </w:p>
        </w:tc>
        <w:tc>
          <w:tcPr>
            <w:tcW w:w="720" w:type="dxa"/>
            <w:tcBorders>
              <w:tl2br w:val="nil"/>
              <w:tr2bl w:val="nil"/>
            </w:tcBorders>
            <w:vAlign w:val="center"/>
          </w:tcPr>
          <w:p w14:paraId="1BB84304" w14:textId="77777777" w:rsidR="002F2449" w:rsidRDefault="00000000">
            <w:pPr>
              <w:widowControl/>
              <w:spacing w:line="340" w:lineRule="exact"/>
              <w:jc w:val="center"/>
              <w:rPr>
                <w:rFonts w:ascii="宋体" w:eastAsia="宋体" w:hAnsi="宋体" w:cs="宋体" w:hint="eastAsia"/>
                <w:color w:val="000000"/>
                <w:szCs w:val="21"/>
              </w:rPr>
            </w:pPr>
            <w:r>
              <w:rPr>
                <w:rFonts w:ascii="宋体" w:eastAsia="宋体" w:hAnsi="宋体" w:cs="宋体" w:hint="eastAsia"/>
                <w:color w:val="000000"/>
                <w:szCs w:val="21"/>
              </w:rPr>
              <w:t>10</w:t>
            </w:r>
          </w:p>
        </w:tc>
        <w:tc>
          <w:tcPr>
            <w:tcW w:w="720" w:type="dxa"/>
            <w:tcBorders>
              <w:tl2br w:val="nil"/>
              <w:tr2bl w:val="nil"/>
            </w:tcBorders>
            <w:vAlign w:val="center"/>
          </w:tcPr>
          <w:p w14:paraId="19F852B2"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 xml:space="preserve">　</w:t>
            </w:r>
          </w:p>
        </w:tc>
        <w:tc>
          <w:tcPr>
            <w:tcW w:w="720" w:type="dxa"/>
            <w:tcBorders>
              <w:tl2br w:val="nil"/>
              <w:tr2bl w:val="nil"/>
            </w:tcBorders>
            <w:vAlign w:val="center"/>
          </w:tcPr>
          <w:p w14:paraId="04323004"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p>
        </w:tc>
      </w:tr>
      <w:tr w:rsidR="002F2449" w14:paraId="09CA5431" w14:textId="77777777">
        <w:trPr>
          <w:trHeight w:val="462"/>
        </w:trPr>
        <w:tc>
          <w:tcPr>
            <w:tcW w:w="652" w:type="dxa"/>
            <w:tcBorders>
              <w:tl2br w:val="nil"/>
              <w:tr2bl w:val="nil"/>
            </w:tcBorders>
            <w:vAlign w:val="center"/>
          </w:tcPr>
          <w:p w14:paraId="599AD1A4"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8</w:t>
            </w:r>
          </w:p>
        </w:tc>
        <w:tc>
          <w:tcPr>
            <w:tcW w:w="1071" w:type="dxa"/>
            <w:tcBorders>
              <w:tl2br w:val="nil"/>
              <w:tr2bl w:val="nil"/>
            </w:tcBorders>
            <w:vAlign w:val="center"/>
          </w:tcPr>
          <w:p w14:paraId="0B68C269"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潜水泵</w:t>
            </w:r>
          </w:p>
        </w:tc>
        <w:tc>
          <w:tcPr>
            <w:tcW w:w="5657" w:type="dxa"/>
            <w:tcBorders>
              <w:tl2br w:val="nil"/>
              <w:tr2bl w:val="nil"/>
            </w:tcBorders>
            <w:vAlign w:val="center"/>
          </w:tcPr>
          <w:p w14:paraId="1B6A37F3"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未接</w:t>
            </w:r>
            <w:r>
              <w:rPr>
                <w:rFonts w:ascii="宋体" w:eastAsia="宋体" w:hAnsi="宋体" w:cs="宋体" w:hint="eastAsia"/>
                <w:szCs w:val="21"/>
              </w:rPr>
              <w:t>保护接地导体(PE)</w:t>
            </w:r>
            <w:r>
              <w:rPr>
                <w:rFonts w:ascii="宋体" w:eastAsia="宋体" w:hAnsi="宋体" w:cs="宋体" w:hint="eastAsia"/>
                <w:color w:val="000000"/>
                <w:szCs w:val="21"/>
              </w:rPr>
              <w:t>或未设置</w:t>
            </w:r>
            <w:r>
              <w:rPr>
                <w:rFonts w:ascii="宋体" w:eastAsia="宋体" w:hAnsi="宋体" w:cs="宋体" w:hint="eastAsia"/>
                <w:szCs w:val="21"/>
              </w:rPr>
              <w:t>剩余电流动作保护器</w:t>
            </w:r>
            <w:r>
              <w:rPr>
                <w:rFonts w:ascii="宋体" w:eastAsia="宋体" w:hAnsi="宋体" w:cs="宋体" w:hint="eastAsia"/>
                <w:color w:val="000000"/>
                <w:szCs w:val="21"/>
              </w:rPr>
              <w:t>，扣6分</w:t>
            </w:r>
          </w:p>
          <w:p w14:paraId="4D0460DC"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负荷线未使用专用防水橡皮电缆，扣6分</w:t>
            </w:r>
          </w:p>
          <w:p w14:paraId="388E95C0"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负荷线有接头，扣3分</w:t>
            </w:r>
          </w:p>
        </w:tc>
        <w:tc>
          <w:tcPr>
            <w:tcW w:w="720" w:type="dxa"/>
            <w:tcBorders>
              <w:tl2br w:val="nil"/>
              <w:tr2bl w:val="nil"/>
            </w:tcBorders>
            <w:vAlign w:val="center"/>
          </w:tcPr>
          <w:p w14:paraId="7516E89F" w14:textId="77777777" w:rsidR="002F2449" w:rsidRDefault="00000000">
            <w:pPr>
              <w:spacing w:line="340" w:lineRule="exact"/>
              <w:jc w:val="center"/>
              <w:rPr>
                <w:rFonts w:ascii="宋体" w:eastAsia="宋体" w:hAnsi="宋体" w:cs="宋体" w:hint="eastAsia"/>
                <w:color w:val="000000"/>
                <w:szCs w:val="21"/>
              </w:rPr>
            </w:pPr>
            <w:r>
              <w:rPr>
                <w:rFonts w:ascii="宋体" w:eastAsia="宋体" w:hAnsi="宋体" w:cs="宋体" w:hint="eastAsia"/>
                <w:color w:val="000000"/>
                <w:szCs w:val="21"/>
              </w:rPr>
              <w:t>6</w:t>
            </w:r>
          </w:p>
        </w:tc>
        <w:tc>
          <w:tcPr>
            <w:tcW w:w="720" w:type="dxa"/>
            <w:tcBorders>
              <w:tl2br w:val="nil"/>
              <w:tr2bl w:val="nil"/>
            </w:tcBorders>
            <w:vAlign w:val="center"/>
          </w:tcPr>
          <w:p w14:paraId="2DAE5CB4"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 xml:space="preserve">　</w:t>
            </w:r>
          </w:p>
        </w:tc>
        <w:tc>
          <w:tcPr>
            <w:tcW w:w="720" w:type="dxa"/>
            <w:tcBorders>
              <w:tl2br w:val="nil"/>
              <w:tr2bl w:val="nil"/>
            </w:tcBorders>
            <w:vAlign w:val="center"/>
          </w:tcPr>
          <w:p w14:paraId="2C8E4235"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p>
        </w:tc>
      </w:tr>
      <w:tr w:rsidR="002F2449" w14:paraId="3E5899C3" w14:textId="77777777">
        <w:trPr>
          <w:trHeight w:val="610"/>
        </w:trPr>
        <w:tc>
          <w:tcPr>
            <w:tcW w:w="652" w:type="dxa"/>
            <w:tcBorders>
              <w:tl2br w:val="nil"/>
              <w:tr2bl w:val="nil"/>
            </w:tcBorders>
            <w:vAlign w:val="center"/>
          </w:tcPr>
          <w:p w14:paraId="2D4948BA"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9</w:t>
            </w:r>
          </w:p>
        </w:tc>
        <w:tc>
          <w:tcPr>
            <w:tcW w:w="1071" w:type="dxa"/>
            <w:tcBorders>
              <w:tl2br w:val="nil"/>
              <w:tr2bl w:val="nil"/>
            </w:tcBorders>
            <w:vAlign w:val="center"/>
          </w:tcPr>
          <w:p w14:paraId="5C72AF5B"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振捣器</w:t>
            </w:r>
          </w:p>
        </w:tc>
        <w:tc>
          <w:tcPr>
            <w:tcW w:w="5657" w:type="dxa"/>
            <w:tcBorders>
              <w:tl2br w:val="nil"/>
              <w:tr2bl w:val="nil"/>
            </w:tcBorders>
            <w:vAlign w:val="center"/>
          </w:tcPr>
          <w:p w14:paraId="498407DC"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未做保护接零或未设置</w:t>
            </w:r>
            <w:r>
              <w:rPr>
                <w:rFonts w:ascii="宋体" w:eastAsia="宋体" w:hAnsi="宋体" w:cs="宋体" w:hint="eastAsia"/>
                <w:szCs w:val="21"/>
              </w:rPr>
              <w:t>剩余电流动作保护器</w:t>
            </w:r>
            <w:r>
              <w:rPr>
                <w:rFonts w:ascii="宋体" w:eastAsia="宋体" w:hAnsi="宋体" w:cs="宋体" w:hint="eastAsia"/>
                <w:color w:val="000000"/>
                <w:szCs w:val="21"/>
              </w:rPr>
              <w:t>，扣8分</w:t>
            </w:r>
          </w:p>
          <w:p w14:paraId="007AD3D2"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未使用移动式配电箱，扣4分</w:t>
            </w:r>
          </w:p>
          <w:p w14:paraId="19D1F3BC"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电缆线长度超过30米，扣4分</w:t>
            </w:r>
          </w:p>
          <w:p w14:paraId="4E7EE5D3"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操作人员未穿戴绝缘防护用品，扣8分</w:t>
            </w:r>
          </w:p>
        </w:tc>
        <w:tc>
          <w:tcPr>
            <w:tcW w:w="720" w:type="dxa"/>
            <w:tcBorders>
              <w:tl2br w:val="nil"/>
              <w:tr2bl w:val="nil"/>
            </w:tcBorders>
            <w:vAlign w:val="center"/>
          </w:tcPr>
          <w:p w14:paraId="1CFBC6C2" w14:textId="77777777" w:rsidR="002F2449" w:rsidRDefault="00000000">
            <w:pPr>
              <w:spacing w:line="340" w:lineRule="exact"/>
              <w:jc w:val="center"/>
              <w:rPr>
                <w:rFonts w:ascii="宋体" w:eastAsia="宋体" w:hAnsi="宋体" w:cs="宋体" w:hint="eastAsia"/>
                <w:color w:val="000000"/>
                <w:szCs w:val="21"/>
              </w:rPr>
            </w:pPr>
            <w:r>
              <w:rPr>
                <w:rFonts w:ascii="宋体" w:eastAsia="宋体" w:hAnsi="宋体" w:cs="宋体" w:hint="eastAsia"/>
                <w:color w:val="000000"/>
                <w:szCs w:val="21"/>
              </w:rPr>
              <w:t>8</w:t>
            </w:r>
          </w:p>
        </w:tc>
        <w:tc>
          <w:tcPr>
            <w:tcW w:w="720" w:type="dxa"/>
            <w:tcBorders>
              <w:tl2br w:val="nil"/>
              <w:tr2bl w:val="nil"/>
            </w:tcBorders>
            <w:vAlign w:val="center"/>
          </w:tcPr>
          <w:p w14:paraId="5C91E32F"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 xml:space="preserve">　</w:t>
            </w:r>
          </w:p>
        </w:tc>
        <w:tc>
          <w:tcPr>
            <w:tcW w:w="720" w:type="dxa"/>
            <w:tcBorders>
              <w:tl2br w:val="nil"/>
              <w:tr2bl w:val="nil"/>
            </w:tcBorders>
            <w:vAlign w:val="center"/>
          </w:tcPr>
          <w:p w14:paraId="5756A074" w14:textId="77777777" w:rsidR="002F2449" w:rsidRDefault="002F2449">
            <w:pPr>
              <w:widowControl/>
              <w:spacing w:line="340" w:lineRule="exact"/>
              <w:jc w:val="center"/>
              <w:rPr>
                <w:rFonts w:ascii="宋体" w:eastAsia="宋体" w:hAnsi="宋体" w:cs="宋体" w:hint="eastAsia"/>
                <w:color w:val="000000"/>
                <w:kern w:val="0"/>
                <w:szCs w:val="21"/>
              </w:rPr>
            </w:pPr>
          </w:p>
        </w:tc>
      </w:tr>
      <w:tr w:rsidR="002F2449" w14:paraId="5379FDE8" w14:textId="77777777">
        <w:trPr>
          <w:trHeight w:val="999"/>
        </w:trPr>
        <w:tc>
          <w:tcPr>
            <w:tcW w:w="652" w:type="dxa"/>
            <w:tcBorders>
              <w:tl2br w:val="nil"/>
              <w:tr2bl w:val="nil"/>
            </w:tcBorders>
            <w:vAlign w:val="center"/>
          </w:tcPr>
          <w:p w14:paraId="472EED30"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10</w:t>
            </w:r>
          </w:p>
        </w:tc>
        <w:tc>
          <w:tcPr>
            <w:tcW w:w="1071" w:type="dxa"/>
            <w:tcBorders>
              <w:tl2br w:val="nil"/>
              <w:tr2bl w:val="nil"/>
            </w:tcBorders>
            <w:vAlign w:val="center"/>
          </w:tcPr>
          <w:p w14:paraId="2AB95E2F"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桩工</w:t>
            </w:r>
          </w:p>
          <w:p w14:paraId="539BED69"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机械</w:t>
            </w:r>
          </w:p>
        </w:tc>
        <w:tc>
          <w:tcPr>
            <w:tcW w:w="5657" w:type="dxa"/>
            <w:tcBorders>
              <w:tl2br w:val="nil"/>
              <w:tr2bl w:val="nil"/>
            </w:tcBorders>
            <w:vAlign w:val="center"/>
          </w:tcPr>
          <w:p w14:paraId="70DFA1FE"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机械安装后未履行验收程序，扣10分</w:t>
            </w:r>
          </w:p>
          <w:p w14:paraId="74A6A8D4"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作业前未编制专项施工方案或未按规定进行安全技术交底，扣10分</w:t>
            </w:r>
          </w:p>
          <w:p w14:paraId="004AA221"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安全装置不齐全或不灵敏，扣10分</w:t>
            </w:r>
          </w:p>
          <w:p w14:paraId="57BE794A"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机械作业区地面承载力不符合规定要求或未采取有效硬化措施，扣10分</w:t>
            </w:r>
          </w:p>
          <w:p w14:paraId="48179738"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机械与输电线路安全距离不符合规范要求，扣10分</w:t>
            </w:r>
          </w:p>
        </w:tc>
        <w:tc>
          <w:tcPr>
            <w:tcW w:w="720" w:type="dxa"/>
            <w:tcBorders>
              <w:tl2br w:val="nil"/>
              <w:tr2bl w:val="nil"/>
            </w:tcBorders>
            <w:vAlign w:val="center"/>
          </w:tcPr>
          <w:p w14:paraId="7CE89526" w14:textId="77777777" w:rsidR="002F2449" w:rsidRDefault="00000000">
            <w:pPr>
              <w:spacing w:line="340" w:lineRule="exact"/>
              <w:jc w:val="center"/>
              <w:rPr>
                <w:rFonts w:ascii="宋体" w:eastAsia="宋体" w:hAnsi="宋体" w:cs="宋体" w:hint="eastAsia"/>
                <w:color w:val="000000"/>
                <w:szCs w:val="21"/>
              </w:rPr>
            </w:pPr>
            <w:r>
              <w:rPr>
                <w:rFonts w:ascii="宋体" w:eastAsia="宋体" w:hAnsi="宋体" w:cs="宋体" w:hint="eastAsia"/>
                <w:color w:val="000000"/>
                <w:szCs w:val="21"/>
              </w:rPr>
              <w:t>10</w:t>
            </w:r>
          </w:p>
        </w:tc>
        <w:tc>
          <w:tcPr>
            <w:tcW w:w="720" w:type="dxa"/>
            <w:tcBorders>
              <w:tl2br w:val="nil"/>
              <w:tr2bl w:val="nil"/>
            </w:tcBorders>
            <w:vAlign w:val="center"/>
          </w:tcPr>
          <w:p w14:paraId="25B374C1"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 xml:space="preserve">　</w:t>
            </w:r>
          </w:p>
        </w:tc>
        <w:tc>
          <w:tcPr>
            <w:tcW w:w="720" w:type="dxa"/>
            <w:tcBorders>
              <w:tl2br w:val="nil"/>
              <w:tr2bl w:val="nil"/>
            </w:tcBorders>
            <w:vAlign w:val="center"/>
          </w:tcPr>
          <w:p w14:paraId="4650736B" w14:textId="77777777" w:rsidR="002F2449" w:rsidRDefault="002F2449">
            <w:pPr>
              <w:widowControl/>
              <w:spacing w:line="340" w:lineRule="exact"/>
              <w:jc w:val="center"/>
              <w:rPr>
                <w:rFonts w:ascii="宋体" w:eastAsia="宋体" w:hAnsi="宋体" w:cs="宋体" w:hint="eastAsia"/>
                <w:color w:val="000000"/>
                <w:kern w:val="0"/>
                <w:szCs w:val="21"/>
              </w:rPr>
            </w:pPr>
          </w:p>
        </w:tc>
      </w:tr>
      <w:tr w:rsidR="002F2449" w14:paraId="6BD1914E" w14:textId="77777777">
        <w:trPr>
          <w:trHeight w:val="999"/>
        </w:trPr>
        <w:tc>
          <w:tcPr>
            <w:tcW w:w="652" w:type="dxa"/>
            <w:tcBorders>
              <w:tl2br w:val="nil"/>
              <w:tr2bl w:val="nil"/>
            </w:tcBorders>
            <w:vAlign w:val="center"/>
          </w:tcPr>
          <w:p w14:paraId="2B94A917"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11</w:t>
            </w:r>
          </w:p>
        </w:tc>
        <w:tc>
          <w:tcPr>
            <w:tcW w:w="1071" w:type="dxa"/>
            <w:tcBorders>
              <w:tl2br w:val="nil"/>
              <w:tr2bl w:val="nil"/>
            </w:tcBorders>
            <w:vAlign w:val="center"/>
          </w:tcPr>
          <w:p w14:paraId="5E72C312" w14:textId="77777777" w:rsidR="002F2449" w:rsidRDefault="00000000">
            <w:pPr>
              <w:widowControl/>
              <w:spacing w:line="340" w:lineRule="exact"/>
              <w:jc w:val="center"/>
              <w:rPr>
                <w:rFonts w:ascii="宋体" w:eastAsia="宋体" w:hAnsi="宋体" w:cs="宋体" w:hint="eastAsia"/>
                <w:kern w:val="0"/>
                <w:szCs w:val="21"/>
              </w:rPr>
            </w:pPr>
            <w:r>
              <w:rPr>
                <w:rFonts w:ascii="宋体" w:eastAsia="宋体" w:hAnsi="宋体" w:cs="宋体" w:hint="eastAsia"/>
                <w:kern w:val="0"/>
                <w:szCs w:val="21"/>
              </w:rPr>
              <w:t>其他施工机械</w:t>
            </w:r>
          </w:p>
        </w:tc>
        <w:tc>
          <w:tcPr>
            <w:tcW w:w="5657" w:type="dxa"/>
            <w:tcBorders>
              <w:tl2br w:val="nil"/>
              <w:tr2bl w:val="nil"/>
            </w:tcBorders>
            <w:vAlign w:val="center"/>
          </w:tcPr>
          <w:p w14:paraId="72422F8F"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机械安装后未履行验收程序，扣8分</w:t>
            </w:r>
          </w:p>
          <w:p w14:paraId="6ABE8ECA"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未按规定安装安全装置，安全装失灵、不可靠，扣10分</w:t>
            </w:r>
          </w:p>
          <w:p w14:paraId="6D5E67C4"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驾驶员、操作人员未持证上岗；未进行安全技术交底，扣5－10分</w:t>
            </w:r>
          </w:p>
          <w:p w14:paraId="26C86056" w14:textId="77777777" w:rsidR="002F2449" w:rsidRDefault="00000000">
            <w:pPr>
              <w:spacing w:line="340" w:lineRule="exact"/>
              <w:rPr>
                <w:rFonts w:ascii="宋体" w:eastAsia="宋体" w:hAnsi="宋体" w:cs="宋体" w:hint="eastAsia"/>
                <w:color w:val="000000"/>
                <w:szCs w:val="21"/>
              </w:rPr>
            </w:pPr>
            <w:r>
              <w:rPr>
                <w:rFonts w:ascii="宋体" w:eastAsia="宋体" w:hAnsi="宋体" w:cs="宋体" w:hint="eastAsia"/>
                <w:color w:val="000000"/>
                <w:szCs w:val="21"/>
              </w:rPr>
              <w:t>未按操作规程进行保养，扣5分</w:t>
            </w:r>
          </w:p>
          <w:p w14:paraId="6F6DC147" w14:textId="77777777" w:rsidR="002F2449" w:rsidRDefault="002F2449">
            <w:pPr>
              <w:spacing w:line="340" w:lineRule="exact"/>
              <w:rPr>
                <w:rFonts w:ascii="宋体" w:eastAsia="宋体" w:hAnsi="宋体" w:cs="宋体" w:hint="eastAsia"/>
                <w:color w:val="000000"/>
                <w:szCs w:val="21"/>
              </w:rPr>
            </w:pPr>
          </w:p>
        </w:tc>
        <w:tc>
          <w:tcPr>
            <w:tcW w:w="720" w:type="dxa"/>
            <w:tcBorders>
              <w:tl2br w:val="nil"/>
              <w:tr2bl w:val="nil"/>
            </w:tcBorders>
            <w:vAlign w:val="center"/>
          </w:tcPr>
          <w:p w14:paraId="6D157139" w14:textId="77777777" w:rsidR="002F2449" w:rsidRDefault="00000000">
            <w:pPr>
              <w:spacing w:line="340" w:lineRule="exact"/>
              <w:jc w:val="center"/>
              <w:rPr>
                <w:rFonts w:ascii="宋体" w:eastAsia="宋体" w:hAnsi="宋体" w:cs="宋体" w:hint="eastAsia"/>
                <w:color w:val="000000"/>
                <w:szCs w:val="21"/>
              </w:rPr>
            </w:pPr>
            <w:r>
              <w:rPr>
                <w:rFonts w:ascii="宋体" w:eastAsia="宋体" w:hAnsi="宋体" w:cs="宋体" w:hint="eastAsia"/>
                <w:color w:val="000000"/>
                <w:szCs w:val="21"/>
              </w:rPr>
              <w:t>10</w:t>
            </w:r>
          </w:p>
        </w:tc>
        <w:tc>
          <w:tcPr>
            <w:tcW w:w="720" w:type="dxa"/>
            <w:tcBorders>
              <w:tl2br w:val="nil"/>
              <w:tr2bl w:val="nil"/>
            </w:tcBorders>
            <w:vAlign w:val="center"/>
          </w:tcPr>
          <w:p w14:paraId="11346412" w14:textId="77777777" w:rsidR="002F2449" w:rsidRDefault="002F2449">
            <w:pPr>
              <w:widowControl/>
              <w:spacing w:line="340" w:lineRule="exact"/>
              <w:jc w:val="center"/>
              <w:rPr>
                <w:rFonts w:ascii="宋体" w:eastAsia="宋体" w:hAnsi="宋体" w:cs="宋体" w:hint="eastAsia"/>
                <w:kern w:val="0"/>
                <w:szCs w:val="21"/>
              </w:rPr>
            </w:pPr>
          </w:p>
        </w:tc>
        <w:tc>
          <w:tcPr>
            <w:tcW w:w="720" w:type="dxa"/>
            <w:tcBorders>
              <w:tl2br w:val="nil"/>
              <w:tr2bl w:val="nil"/>
            </w:tcBorders>
            <w:vAlign w:val="center"/>
          </w:tcPr>
          <w:p w14:paraId="2E04E64D" w14:textId="77777777" w:rsidR="002F2449" w:rsidRDefault="002F2449">
            <w:pPr>
              <w:widowControl/>
              <w:spacing w:line="340" w:lineRule="exact"/>
              <w:jc w:val="center"/>
              <w:rPr>
                <w:rFonts w:ascii="宋体" w:eastAsia="宋体" w:hAnsi="宋体" w:cs="宋体" w:hint="eastAsia"/>
                <w:color w:val="000000"/>
                <w:kern w:val="0"/>
                <w:szCs w:val="21"/>
              </w:rPr>
            </w:pPr>
          </w:p>
        </w:tc>
      </w:tr>
      <w:tr w:rsidR="002F2449" w14:paraId="4DD295A2" w14:textId="77777777">
        <w:trPr>
          <w:trHeight w:val="448"/>
        </w:trPr>
        <w:tc>
          <w:tcPr>
            <w:tcW w:w="1723" w:type="dxa"/>
            <w:gridSpan w:val="2"/>
            <w:tcBorders>
              <w:tl2br w:val="nil"/>
              <w:tr2bl w:val="nil"/>
            </w:tcBorders>
            <w:vAlign w:val="center"/>
          </w:tcPr>
          <w:p w14:paraId="54D3B20C"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评价项目合计</w:t>
            </w:r>
          </w:p>
        </w:tc>
        <w:tc>
          <w:tcPr>
            <w:tcW w:w="5657" w:type="dxa"/>
            <w:tcBorders>
              <w:tl2br w:val="nil"/>
              <w:tr2bl w:val="nil"/>
            </w:tcBorders>
            <w:vAlign w:val="center"/>
          </w:tcPr>
          <w:p w14:paraId="721A356A" w14:textId="77777777" w:rsidR="002F2449" w:rsidRDefault="002F2449">
            <w:pPr>
              <w:widowControl/>
              <w:spacing w:line="340" w:lineRule="exact"/>
              <w:jc w:val="left"/>
              <w:rPr>
                <w:rFonts w:ascii="宋体" w:eastAsia="宋体" w:hAnsi="宋体" w:cs="宋体" w:hint="eastAsia"/>
                <w:color w:val="000000"/>
                <w:kern w:val="0"/>
                <w:szCs w:val="21"/>
              </w:rPr>
            </w:pPr>
          </w:p>
        </w:tc>
        <w:tc>
          <w:tcPr>
            <w:tcW w:w="720" w:type="dxa"/>
            <w:tcBorders>
              <w:tl2br w:val="nil"/>
              <w:tr2bl w:val="nil"/>
            </w:tcBorders>
            <w:vAlign w:val="center"/>
          </w:tcPr>
          <w:p w14:paraId="2E6BA921" w14:textId="77777777" w:rsidR="002F2449" w:rsidRDefault="00000000">
            <w:pPr>
              <w:widowControl/>
              <w:spacing w:line="340" w:lineRule="exact"/>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100</w:t>
            </w:r>
          </w:p>
        </w:tc>
        <w:tc>
          <w:tcPr>
            <w:tcW w:w="720" w:type="dxa"/>
            <w:tcBorders>
              <w:tl2br w:val="nil"/>
              <w:tr2bl w:val="nil"/>
            </w:tcBorders>
            <w:vAlign w:val="center"/>
          </w:tcPr>
          <w:p w14:paraId="4C2F35FC" w14:textId="77777777" w:rsidR="002F2449" w:rsidRDefault="002F2449">
            <w:pPr>
              <w:widowControl/>
              <w:spacing w:line="340" w:lineRule="exact"/>
              <w:jc w:val="left"/>
              <w:rPr>
                <w:rFonts w:ascii="宋体" w:eastAsia="宋体" w:hAnsi="宋体" w:cs="宋体" w:hint="eastAsia"/>
                <w:color w:val="000000"/>
                <w:kern w:val="0"/>
                <w:szCs w:val="21"/>
              </w:rPr>
            </w:pPr>
          </w:p>
        </w:tc>
        <w:tc>
          <w:tcPr>
            <w:tcW w:w="720" w:type="dxa"/>
            <w:tcBorders>
              <w:tl2br w:val="nil"/>
              <w:tr2bl w:val="nil"/>
            </w:tcBorders>
            <w:vAlign w:val="center"/>
          </w:tcPr>
          <w:p w14:paraId="117E8E42" w14:textId="77777777" w:rsidR="002F2449" w:rsidRDefault="002F2449">
            <w:pPr>
              <w:widowControl/>
              <w:spacing w:line="340" w:lineRule="exact"/>
              <w:jc w:val="left"/>
              <w:rPr>
                <w:rFonts w:ascii="宋体" w:eastAsia="宋体" w:hAnsi="宋体" w:cs="宋体" w:hint="eastAsia"/>
                <w:color w:val="000000"/>
                <w:kern w:val="0"/>
                <w:szCs w:val="21"/>
              </w:rPr>
            </w:pPr>
          </w:p>
        </w:tc>
      </w:tr>
    </w:tbl>
    <w:p w14:paraId="6F0F1297" w14:textId="77777777" w:rsidR="002F2449" w:rsidRDefault="002F2449">
      <w:pPr>
        <w:rPr>
          <w:rFonts w:hint="eastAsia"/>
        </w:rPr>
      </w:pPr>
    </w:p>
    <w:sectPr w:rsidR="002F24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D689D" w14:textId="77777777" w:rsidR="005013B4" w:rsidRDefault="005013B4" w:rsidP="00E675CA">
      <w:pPr>
        <w:rPr>
          <w:rFonts w:hint="eastAsia"/>
        </w:rPr>
      </w:pPr>
      <w:r>
        <w:separator/>
      </w:r>
    </w:p>
  </w:endnote>
  <w:endnote w:type="continuationSeparator" w:id="0">
    <w:p w14:paraId="5FB1E8FA" w14:textId="77777777" w:rsidR="005013B4" w:rsidRDefault="005013B4" w:rsidP="00E675C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62A9F" w14:textId="77777777" w:rsidR="005013B4" w:rsidRDefault="005013B4" w:rsidP="00E675CA">
      <w:pPr>
        <w:rPr>
          <w:rFonts w:hint="eastAsia"/>
        </w:rPr>
      </w:pPr>
      <w:r>
        <w:separator/>
      </w:r>
    </w:p>
  </w:footnote>
  <w:footnote w:type="continuationSeparator" w:id="0">
    <w:p w14:paraId="7F2617E9" w14:textId="77777777" w:rsidR="005013B4" w:rsidRDefault="005013B4" w:rsidP="00E675C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020"/>
    <w:rsid w:val="000410EB"/>
    <w:rsid w:val="000619FE"/>
    <w:rsid w:val="002B3986"/>
    <w:rsid w:val="002F2449"/>
    <w:rsid w:val="00353275"/>
    <w:rsid w:val="00407F9E"/>
    <w:rsid w:val="004C6A3D"/>
    <w:rsid w:val="005013B4"/>
    <w:rsid w:val="00572BDE"/>
    <w:rsid w:val="00664863"/>
    <w:rsid w:val="00790020"/>
    <w:rsid w:val="007A1638"/>
    <w:rsid w:val="00985077"/>
    <w:rsid w:val="009F20E1"/>
    <w:rsid w:val="00AC7E4B"/>
    <w:rsid w:val="00B37160"/>
    <w:rsid w:val="00C016CC"/>
    <w:rsid w:val="00C04055"/>
    <w:rsid w:val="00C81323"/>
    <w:rsid w:val="00E04EF9"/>
    <w:rsid w:val="00E675CA"/>
    <w:rsid w:val="00F8237C"/>
    <w:rsid w:val="17E1613A"/>
    <w:rsid w:val="22FE0310"/>
    <w:rsid w:val="4BE626A0"/>
    <w:rsid w:val="7D726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21C3B3"/>
  <w15:docId w15:val="{FA065CCD-3A6D-4DFF-B544-FA2AD889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6">
    <w:name w:val="标题 字符"/>
    <w:basedOn w:val="a0"/>
    <w:link w:val="a5"/>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pPr>
      <w:spacing w:before="160" w:after="160"/>
      <w:jc w:val="center"/>
    </w:pPr>
    <w:rPr>
      <w:i/>
      <w:iCs/>
      <w:color w:val="404040" w:themeColor="text1" w:themeTint="BF"/>
    </w:rPr>
  </w:style>
  <w:style w:type="character" w:customStyle="1" w:styleId="a9">
    <w:name w:val="引用 字符"/>
    <w:basedOn w:val="a0"/>
    <w:link w:val="a8"/>
    <w:uiPriority w:val="29"/>
    <w:qFormat/>
    <w:rPr>
      <w:i/>
      <w:iCs/>
      <w:color w:val="404040" w:themeColor="text1" w:themeTint="BF"/>
    </w:rPr>
  </w:style>
  <w:style w:type="paragraph" w:styleId="aa">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b">
    <w:name w:val="Intense Quote"/>
    <w:basedOn w:val="a"/>
    <w:next w:val="a"/>
    <w:link w:val="ac"/>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paragraph" w:styleId="ad">
    <w:name w:val="header"/>
    <w:basedOn w:val="a"/>
    <w:link w:val="ae"/>
    <w:uiPriority w:val="99"/>
    <w:unhideWhenUsed/>
    <w:rsid w:val="00E675CA"/>
    <w:pPr>
      <w:tabs>
        <w:tab w:val="center" w:pos="4153"/>
        <w:tab w:val="right" w:pos="8306"/>
      </w:tabs>
      <w:snapToGrid w:val="0"/>
      <w:jc w:val="center"/>
    </w:pPr>
    <w:rPr>
      <w:sz w:val="18"/>
      <w:szCs w:val="18"/>
    </w:rPr>
  </w:style>
  <w:style w:type="character" w:customStyle="1" w:styleId="ae">
    <w:name w:val="页眉 字符"/>
    <w:basedOn w:val="a0"/>
    <w:link w:val="ad"/>
    <w:uiPriority w:val="99"/>
    <w:rsid w:val="00E675CA"/>
    <w:rPr>
      <w:kern w:val="2"/>
      <w:sz w:val="18"/>
      <w:szCs w:val="18"/>
    </w:rPr>
  </w:style>
  <w:style w:type="paragraph" w:styleId="af">
    <w:name w:val="footer"/>
    <w:basedOn w:val="a"/>
    <w:link w:val="af0"/>
    <w:uiPriority w:val="99"/>
    <w:unhideWhenUsed/>
    <w:rsid w:val="00E675CA"/>
    <w:pPr>
      <w:tabs>
        <w:tab w:val="center" w:pos="4153"/>
        <w:tab w:val="right" w:pos="8306"/>
      </w:tabs>
      <w:snapToGrid w:val="0"/>
      <w:jc w:val="left"/>
    </w:pPr>
    <w:rPr>
      <w:sz w:val="18"/>
      <w:szCs w:val="18"/>
    </w:rPr>
  </w:style>
  <w:style w:type="character" w:customStyle="1" w:styleId="af0">
    <w:name w:val="页脚 字符"/>
    <w:basedOn w:val="a0"/>
    <w:link w:val="af"/>
    <w:uiPriority w:val="99"/>
    <w:rsid w:val="00E675C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672</Characters>
  <Application>Microsoft Office Word</Application>
  <DocSecurity>0</DocSecurity>
  <Lines>84</Lines>
  <Paragraphs>109</Paragraphs>
  <ScaleCrop>false</ScaleCrop>
  <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吴</dc:creator>
  <cp:lastModifiedBy>吴航</cp:lastModifiedBy>
  <cp:revision>4</cp:revision>
  <dcterms:created xsi:type="dcterms:W3CDTF">2025-05-02T04:57:00Z</dcterms:created>
  <dcterms:modified xsi:type="dcterms:W3CDTF">2025-05-16T07:48:00Z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eyJoZGlkIjoiYjY4YmQ0ODg3NzA1ODQwZTFlZGM1OGZmZDNjZjU2OGUiLCJ1c2VySWQiOiIyMzI2MjQ5OTQifQ==</vt:lpwstr>
  </property>
  <property fmtid="{D5CDD505-2E9C-101B-9397-08002B2CF9AE}" pid="3" name="KSOProductBuildVer">
    <vt:lpwstr>2052-12.1.0.20784</vt:lpwstr>
  </property>
  <property fmtid="{D5CDD505-2E9C-101B-9397-08002B2CF9AE}" pid="4" name="ICV">
    <vt:lpwstr>A2A9A242E1494F78ADAE6490213775AF_13</vt:lpwstr>
  </property>
</Properties>
</file>