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92E43">
      <w:pPr>
        <w:jc w:val="center"/>
        <w:rPr>
          <w:rFonts w:hint="eastAsia" w:ascii="宋体" w:hAnsi="宋体" w:eastAsia="宋体"/>
          <w:b/>
          <w:sz w:val="28"/>
          <w:szCs w:val="28"/>
        </w:rPr>
      </w:pPr>
      <w:r>
        <w:rPr>
          <w:rFonts w:hint="eastAsia" w:ascii="宋体" w:hAnsi="宋体" w:eastAsia="宋体"/>
          <w:b/>
          <w:sz w:val="28"/>
          <w:szCs w:val="28"/>
          <w:lang w:val="en-US" w:eastAsia="zh-CN"/>
        </w:rPr>
        <w:t>市政</w:t>
      </w:r>
      <w:r>
        <w:rPr>
          <w:rFonts w:hint="eastAsia" w:ascii="宋体" w:hAnsi="宋体" w:eastAsia="宋体"/>
          <w:b/>
          <w:sz w:val="28"/>
          <w:szCs w:val="28"/>
        </w:rPr>
        <w:t>表B</w:t>
      </w:r>
      <w:r>
        <w:rPr>
          <w:rFonts w:hint="eastAsia" w:ascii="宋体" w:hAnsi="宋体" w:eastAsia="宋体"/>
          <w:b/>
          <w:sz w:val="28"/>
          <w:szCs w:val="28"/>
          <w:lang w:val="en-US" w:eastAsia="zh-CN"/>
        </w:rPr>
        <w:t>2</w:t>
      </w:r>
      <w:r>
        <w:rPr>
          <w:rFonts w:hint="eastAsia" w:ascii="宋体" w:hAnsi="宋体" w:eastAsia="宋体"/>
          <w:b/>
          <w:sz w:val="28"/>
          <w:szCs w:val="28"/>
        </w:rPr>
        <w:t>0  有限空间作业评价评分表</w:t>
      </w:r>
    </w:p>
    <w:tbl>
      <w:tblPr>
        <w:tblStyle w:val="16"/>
        <w:tblW w:w="8931"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5"/>
        <w:gridCol w:w="1129"/>
        <w:gridCol w:w="5386"/>
        <w:gridCol w:w="851"/>
        <w:gridCol w:w="850"/>
      </w:tblGrid>
      <w:tr w14:paraId="09BFE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tcBorders>
              <w:top w:val="single" w:color="auto" w:sz="4" w:space="0"/>
              <w:left w:val="single" w:color="auto" w:sz="4" w:space="0"/>
              <w:bottom w:val="single" w:color="auto" w:sz="4" w:space="0"/>
              <w:right w:val="single" w:color="auto" w:sz="4" w:space="0"/>
            </w:tcBorders>
          </w:tcPr>
          <w:p w14:paraId="4BA9A0AD">
            <w:pPr>
              <w:rPr>
                <w:rFonts w:hint="eastAsia" w:ascii="宋体" w:hAnsi="宋体" w:eastAsia="宋体"/>
                <w:bCs/>
                <w:szCs w:val="21"/>
              </w:rPr>
            </w:pPr>
            <w:r>
              <w:rPr>
                <w:rFonts w:hint="eastAsia" w:ascii="宋体" w:hAnsi="宋体" w:eastAsia="宋体"/>
                <w:bCs/>
                <w:szCs w:val="21"/>
              </w:rPr>
              <w:t>序号</w:t>
            </w:r>
          </w:p>
        </w:tc>
        <w:tc>
          <w:tcPr>
            <w:tcW w:w="1129" w:type="dxa"/>
            <w:tcBorders>
              <w:top w:val="single" w:color="auto" w:sz="4" w:space="0"/>
              <w:left w:val="single" w:color="auto" w:sz="4" w:space="0"/>
              <w:bottom w:val="single" w:color="auto" w:sz="4" w:space="0"/>
              <w:right w:val="single" w:color="auto" w:sz="4" w:space="0"/>
            </w:tcBorders>
          </w:tcPr>
          <w:p w14:paraId="558FE4EA">
            <w:pPr>
              <w:rPr>
                <w:rFonts w:hint="eastAsia" w:ascii="宋体" w:hAnsi="宋体" w:eastAsia="宋体"/>
                <w:bCs/>
                <w:szCs w:val="21"/>
              </w:rPr>
            </w:pPr>
            <w:r>
              <w:rPr>
                <w:rFonts w:hint="eastAsia" w:ascii="宋体" w:hAnsi="宋体" w:eastAsia="宋体"/>
                <w:bCs/>
                <w:szCs w:val="21"/>
              </w:rPr>
              <w:t>评价指标</w:t>
            </w:r>
          </w:p>
        </w:tc>
        <w:tc>
          <w:tcPr>
            <w:tcW w:w="5386" w:type="dxa"/>
            <w:tcBorders>
              <w:top w:val="single" w:color="auto" w:sz="4" w:space="0"/>
              <w:left w:val="single" w:color="auto" w:sz="4" w:space="0"/>
              <w:bottom w:val="single" w:color="auto" w:sz="4" w:space="0"/>
              <w:right w:val="single" w:color="auto" w:sz="4" w:space="0"/>
            </w:tcBorders>
          </w:tcPr>
          <w:p w14:paraId="6280EC2F">
            <w:pPr>
              <w:jc w:val="center"/>
              <w:rPr>
                <w:rFonts w:hint="eastAsia" w:ascii="宋体" w:hAnsi="宋体" w:eastAsia="宋体"/>
                <w:bCs/>
                <w:szCs w:val="21"/>
              </w:rPr>
            </w:pPr>
            <w:r>
              <w:rPr>
                <w:rFonts w:hint="eastAsia" w:ascii="宋体" w:hAnsi="宋体" w:eastAsia="宋体"/>
                <w:bCs/>
                <w:szCs w:val="21"/>
              </w:rPr>
              <w:t>标准要求</w:t>
            </w:r>
          </w:p>
        </w:tc>
        <w:tc>
          <w:tcPr>
            <w:tcW w:w="1701" w:type="dxa"/>
            <w:gridSpan w:val="2"/>
            <w:tcBorders>
              <w:top w:val="single" w:color="auto" w:sz="4" w:space="0"/>
              <w:left w:val="single" w:color="auto" w:sz="4" w:space="0"/>
              <w:bottom w:val="single" w:color="auto" w:sz="4" w:space="0"/>
              <w:right w:val="single" w:color="auto" w:sz="4" w:space="0"/>
            </w:tcBorders>
          </w:tcPr>
          <w:p w14:paraId="59F166D1">
            <w:pPr>
              <w:jc w:val="center"/>
              <w:rPr>
                <w:rFonts w:hint="eastAsia" w:ascii="宋体" w:hAnsi="宋体" w:eastAsia="宋体"/>
                <w:bCs/>
                <w:szCs w:val="21"/>
              </w:rPr>
            </w:pPr>
            <w:r>
              <w:rPr>
                <w:rFonts w:hint="eastAsia" w:ascii="宋体" w:hAnsi="宋体" w:eastAsia="宋体"/>
                <w:bCs/>
                <w:szCs w:val="21"/>
              </w:rPr>
              <w:t>评价结果</w:t>
            </w:r>
          </w:p>
        </w:tc>
      </w:tr>
      <w:tr w14:paraId="7C64B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vMerge w:val="restart"/>
            <w:tcBorders>
              <w:top w:val="nil"/>
              <w:left w:val="single" w:color="auto" w:sz="4" w:space="0"/>
              <w:bottom w:val="single" w:color="auto" w:sz="4" w:space="0"/>
              <w:right w:val="single" w:color="auto" w:sz="4" w:space="0"/>
            </w:tcBorders>
            <w:vAlign w:val="center"/>
          </w:tcPr>
          <w:p w14:paraId="0A387184">
            <w:pPr>
              <w:rPr>
                <w:rFonts w:hint="eastAsia" w:ascii="宋体" w:hAnsi="宋体" w:eastAsia="宋体"/>
                <w:bCs/>
                <w:szCs w:val="21"/>
              </w:rPr>
            </w:pPr>
            <w:r>
              <w:rPr>
                <w:rFonts w:hint="eastAsia" w:ascii="宋体" w:hAnsi="宋体" w:eastAsia="宋体"/>
                <w:bCs/>
                <w:szCs w:val="21"/>
              </w:rPr>
              <w:t>1</w:t>
            </w:r>
          </w:p>
        </w:tc>
        <w:tc>
          <w:tcPr>
            <w:tcW w:w="1129" w:type="dxa"/>
            <w:vMerge w:val="restart"/>
            <w:tcBorders>
              <w:top w:val="nil"/>
              <w:left w:val="single" w:color="auto" w:sz="4" w:space="0"/>
              <w:bottom w:val="single" w:color="auto" w:sz="4" w:space="0"/>
              <w:right w:val="single" w:color="auto" w:sz="4" w:space="0"/>
            </w:tcBorders>
            <w:vAlign w:val="center"/>
          </w:tcPr>
          <w:p w14:paraId="669AE9B4">
            <w:pPr>
              <w:rPr>
                <w:rFonts w:hint="eastAsia" w:ascii="宋体" w:hAnsi="宋体" w:eastAsia="宋体"/>
                <w:bCs/>
                <w:szCs w:val="21"/>
              </w:rPr>
            </w:pPr>
            <w:r>
              <w:rPr>
                <w:rFonts w:hint="eastAsia" w:ascii="宋体" w:hAnsi="宋体" w:eastAsia="宋体"/>
                <w:bCs/>
                <w:szCs w:val="21"/>
              </w:rPr>
              <w:t>控制项</w:t>
            </w:r>
          </w:p>
        </w:tc>
        <w:tc>
          <w:tcPr>
            <w:tcW w:w="5386" w:type="dxa"/>
            <w:tcBorders>
              <w:top w:val="single" w:color="auto" w:sz="4" w:space="0"/>
              <w:left w:val="single" w:color="auto" w:sz="4" w:space="0"/>
              <w:bottom w:val="single" w:color="auto" w:sz="4" w:space="0"/>
              <w:right w:val="single" w:color="auto" w:sz="4" w:space="0"/>
            </w:tcBorders>
          </w:tcPr>
          <w:p w14:paraId="6DD38AAF">
            <w:pPr>
              <w:rPr>
                <w:rFonts w:hint="eastAsia" w:ascii="宋体" w:hAnsi="宋体" w:eastAsia="宋体"/>
                <w:bCs/>
                <w:szCs w:val="21"/>
              </w:rPr>
            </w:pPr>
            <w:r>
              <w:rPr>
                <w:rFonts w:hint="eastAsia" w:ascii="宋体" w:hAnsi="宋体" w:eastAsia="宋体"/>
                <w:bCs/>
                <w:szCs w:val="21"/>
              </w:rPr>
              <w:t>应辨识施工现场有限空间，且在显著位置设置警示标志</w:t>
            </w:r>
          </w:p>
        </w:tc>
        <w:tc>
          <w:tcPr>
            <w:tcW w:w="1701" w:type="dxa"/>
            <w:gridSpan w:val="2"/>
            <w:tcBorders>
              <w:top w:val="single" w:color="auto" w:sz="4" w:space="0"/>
              <w:left w:val="single" w:color="auto" w:sz="4" w:space="0"/>
              <w:bottom w:val="single" w:color="auto" w:sz="4" w:space="0"/>
              <w:right w:val="single" w:color="auto" w:sz="4" w:space="0"/>
            </w:tcBorders>
          </w:tcPr>
          <w:p w14:paraId="44B09DF9">
            <w:pPr>
              <w:rPr>
                <w:rFonts w:hint="eastAsia" w:ascii="宋体" w:hAnsi="宋体" w:eastAsia="宋体"/>
                <w:bCs/>
                <w:szCs w:val="21"/>
              </w:rPr>
            </w:pPr>
            <w:r>
              <w:rPr>
                <w:rFonts w:hint="eastAsia" w:ascii="宋体" w:hAnsi="宋体" w:eastAsia="宋体"/>
                <w:bCs/>
                <w:szCs w:val="21"/>
              </w:rPr>
              <w:t>符合□不符合□</w:t>
            </w:r>
          </w:p>
        </w:tc>
      </w:tr>
      <w:tr w14:paraId="4B65E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0" w:type="auto"/>
            <w:vMerge w:val="continue"/>
            <w:tcBorders>
              <w:top w:val="nil"/>
              <w:left w:val="single" w:color="auto" w:sz="4" w:space="0"/>
              <w:bottom w:val="single" w:color="auto" w:sz="4" w:space="0"/>
              <w:right w:val="single" w:color="auto" w:sz="4" w:space="0"/>
            </w:tcBorders>
            <w:vAlign w:val="center"/>
          </w:tcPr>
          <w:p w14:paraId="6DE57D22">
            <w:pPr>
              <w:rPr>
                <w:rFonts w:hint="eastAsia" w:ascii="宋体" w:hAnsi="宋体" w:eastAsia="宋体"/>
                <w:bCs/>
                <w:szCs w:val="21"/>
              </w:rPr>
            </w:pPr>
          </w:p>
        </w:tc>
        <w:tc>
          <w:tcPr>
            <w:tcW w:w="0" w:type="auto"/>
            <w:vMerge w:val="continue"/>
            <w:tcBorders>
              <w:top w:val="nil"/>
              <w:left w:val="single" w:color="auto" w:sz="4" w:space="0"/>
              <w:bottom w:val="single" w:color="auto" w:sz="4" w:space="0"/>
              <w:right w:val="single" w:color="auto" w:sz="4" w:space="0"/>
            </w:tcBorders>
            <w:vAlign w:val="center"/>
          </w:tcPr>
          <w:p w14:paraId="0152243E">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tcPr>
          <w:p w14:paraId="76C1EBCA">
            <w:pPr>
              <w:rPr>
                <w:rFonts w:hint="eastAsia" w:ascii="宋体" w:hAnsi="宋体" w:eastAsia="宋体"/>
                <w:bCs/>
                <w:szCs w:val="21"/>
              </w:rPr>
            </w:pPr>
            <w:r>
              <w:rPr>
                <w:rFonts w:hint="eastAsia" w:ascii="宋体" w:hAnsi="宋体" w:eastAsia="宋体"/>
                <w:bCs/>
                <w:szCs w:val="21"/>
              </w:rPr>
              <w:t>有限空间作业应履行“作业审批制度”，对施工人员进行专项安全教</w:t>
            </w:r>
            <w:bookmarkStart w:id="0" w:name="_GoBack"/>
            <w:bookmarkEnd w:id="0"/>
            <w:r>
              <w:rPr>
                <w:rFonts w:hint="eastAsia" w:ascii="宋体" w:hAnsi="宋体" w:eastAsia="宋体"/>
                <w:bCs/>
                <w:szCs w:val="21"/>
              </w:rPr>
              <w:t>育培训，执行“先通风、再检测、后作业”原则</w:t>
            </w:r>
          </w:p>
        </w:tc>
        <w:tc>
          <w:tcPr>
            <w:tcW w:w="1701" w:type="dxa"/>
            <w:gridSpan w:val="2"/>
            <w:tcBorders>
              <w:top w:val="single" w:color="auto" w:sz="4" w:space="0"/>
              <w:left w:val="single" w:color="auto" w:sz="4" w:space="0"/>
              <w:bottom w:val="single" w:color="auto" w:sz="4" w:space="0"/>
              <w:right w:val="single" w:color="auto" w:sz="4" w:space="0"/>
            </w:tcBorders>
          </w:tcPr>
          <w:p w14:paraId="658342DF">
            <w:pPr>
              <w:rPr>
                <w:rFonts w:hint="eastAsia" w:ascii="宋体" w:hAnsi="宋体" w:eastAsia="宋体"/>
                <w:bCs/>
                <w:szCs w:val="21"/>
              </w:rPr>
            </w:pPr>
            <w:r>
              <w:rPr>
                <w:rFonts w:hint="eastAsia" w:ascii="宋体" w:hAnsi="宋体" w:eastAsia="宋体"/>
                <w:bCs/>
                <w:szCs w:val="21"/>
              </w:rPr>
              <w:t>符合□不符合□</w:t>
            </w:r>
          </w:p>
        </w:tc>
      </w:tr>
      <w:tr w14:paraId="77038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0" w:type="auto"/>
            <w:vMerge w:val="continue"/>
            <w:tcBorders>
              <w:top w:val="nil"/>
              <w:left w:val="single" w:color="auto" w:sz="4" w:space="0"/>
              <w:bottom w:val="single" w:color="auto" w:sz="4" w:space="0"/>
              <w:right w:val="single" w:color="auto" w:sz="4" w:space="0"/>
            </w:tcBorders>
            <w:vAlign w:val="center"/>
          </w:tcPr>
          <w:p w14:paraId="6726CC95">
            <w:pPr>
              <w:rPr>
                <w:rFonts w:hint="eastAsia" w:ascii="宋体" w:hAnsi="宋体" w:eastAsia="宋体"/>
                <w:bCs/>
                <w:szCs w:val="21"/>
              </w:rPr>
            </w:pPr>
          </w:p>
        </w:tc>
        <w:tc>
          <w:tcPr>
            <w:tcW w:w="0" w:type="auto"/>
            <w:vMerge w:val="continue"/>
            <w:tcBorders>
              <w:top w:val="nil"/>
              <w:left w:val="single" w:color="auto" w:sz="4" w:space="0"/>
              <w:bottom w:val="single" w:color="auto" w:sz="4" w:space="0"/>
              <w:right w:val="single" w:color="auto" w:sz="4" w:space="0"/>
            </w:tcBorders>
            <w:vAlign w:val="center"/>
          </w:tcPr>
          <w:p w14:paraId="3E22F849">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tcPr>
          <w:p w14:paraId="123608DD">
            <w:pPr>
              <w:rPr>
                <w:rFonts w:hint="eastAsia" w:ascii="宋体" w:hAnsi="宋体" w:eastAsia="宋体"/>
                <w:bCs/>
                <w:szCs w:val="21"/>
              </w:rPr>
            </w:pPr>
            <w:r>
              <w:rPr>
                <w:rFonts w:ascii="宋体" w:hAnsi="宋体" w:eastAsia="宋体"/>
                <w:bCs/>
                <w:szCs w:val="21"/>
              </w:rPr>
              <w:t>有限空间作业时现场</w:t>
            </w:r>
            <w:r>
              <w:rPr>
                <w:rFonts w:hint="eastAsia" w:ascii="宋体" w:hAnsi="宋体" w:eastAsia="宋体"/>
                <w:bCs/>
                <w:szCs w:val="21"/>
              </w:rPr>
              <w:t>应</w:t>
            </w:r>
            <w:r>
              <w:rPr>
                <w:rFonts w:ascii="宋体" w:hAnsi="宋体" w:eastAsia="宋体"/>
                <w:bCs/>
                <w:szCs w:val="21"/>
              </w:rPr>
              <w:t>专人负责监护工作，或专职安全生产管理人员现场监督</w:t>
            </w:r>
          </w:p>
        </w:tc>
        <w:tc>
          <w:tcPr>
            <w:tcW w:w="1701" w:type="dxa"/>
            <w:gridSpan w:val="2"/>
            <w:tcBorders>
              <w:top w:val="single" w:color="auto" w:sz="4" w:space="0"/>
              <w:left w:val="single" w:color="auto" w:sz="4" w:space="0"/>
              <w:bottom w:val="single" w:color="auto" w:sz="4" w:space="0"/>
              <w:right w:val="single" w:color="auto" w:sz="4" w:space="0"/>
            </w:tcBorders>
          </w:tcPr>
          <w:p w14:paraId="5848B5D1">
            <w:pPr>
              <w:rPr>
                <w:rFonts w:hint="eastAsia" w:ascii="宋体" w:hAnsi="宋体" w:eastAsia="宋体"/>
                <w:bCs/>
                <w:szCs w:val="21"/>
              </w:rPr>
            </w:pPr>
            <w:r>
              <w:rPr>
                <w:rFonts w:hint="eastAsia" w:ascii="宋体" w:hAnsi="宋体" w:eastAsia="宋体"/>
                <w:bCs/>
                <w:szCs w:val="21"/>
              </w:rPr>
              <w:t>符合□不符合□</w:t>
            </w:r>
          </w:p>
        </w:tc>
      </w:tr>
      <w:tr w14:paraId="3AD8C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14:paraId="47A6FFE5">
            <w:pPr>
              <w:rPr>
                <w:rFonts w:hint="eastAsia" w:ascii="宋体" w:hAnsi="宋体" w:eastAsia="宋体"/>
                <w:bCs/>
                <w:szCs w:val="21"/>
              </w:rPr>
            </w:pPr>
          </w:p>
        </w:tc>
        <w:tc>
          <w:tcPr>
            <w:tcW w:w="0" w:type="auto"/>
            <w:vMerge w:val="continue"/>
            <w:tcBorders>
              <w:top w:val="nil"/>
              <w:left w:val="single" w:color="auto" w:sz="4" w:space="0"/>
              <w:bottom w:val="single" w:color="auto" w:sz="4" w:space="0"/>
              <w:right w:val="single" w:color="auto" w:sz="4" w:space="0"/>
            </w:tcBorders>
            <w:vAlign w:val="center"/>
          </w:tcPr>
          <w:p w14:paraId="0EC9E47F">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tcPr>
          <w:p w14:paraId="48317509">
            <w:pPr>
              <w:rPr>
                <w:rFonts w:hint="eastAsia" w:ascii="宋体" w:hAnsi="宋体" w:eastAsia="宋体"/>
                <w:bCs/>
                <w:szCs w:val="21"/>
              </w:rPr>
            </w:pPr>
            <w:r>
              <w:rPr>
                <w:rFonts w:hint="eastAsia" w:ascii="宋体" w:hAnsi="宋体" w:eastAsia="宋体"/>
                <w:bCs/>
                <w:szCs w:val="21"/>
              </w:rPr>
              <w:t>有限空间作业现场应配备必要的气体检测、机械通风、呼吸防护及应急救援设施设备</w:t>
            </w:r>
          </w:p>
        </w:tc>
        <w:tc>
          <w:tcPr>
            <w:tcW w:w="1701" w:type="dxa"/>
            <w:gridSpan w:val="2"/>
            <w:tcBorders>
              <w:top w:val="single" w:color="auto" w:sz="4" w:space="0"/>
              <w:left w:val="single" w:color="auto" w:sz="4" w:space="0"/>
              <w:bottom w:val="single" w:color="auto" w:sz="4" w:space="0"/>
              <w:right w:val="single" w:color="auto" w:sz="4" w:space="0"/>
            </w:tcBorders>
          </w:tcPr>
          <w:p w14:paraId="0C35FB4D">
            <w:pPr>
              <w:rPr>
                <w:rFonts w:hint="eastAsia" w:ascii="宋体" w:hAnsi="宋体" w:eastAsia="宋体"/>
                <w:bCs/>
                <w:szCs w:val="21"/>
              </w:rPr>
            </w:pPr>
            <w:r>
              <w:rPr>
                <w:rFonts w:hint="eastAsia" w:ascii="宋体" w:hAnsi="宋体" w:eastAsia="宋体"/>
                <w:bCs/>
                <w:szCs w:val="21"/>
              </w:rPr>
              <w:t>符合□不符合□</w:t>
            </w:r>
          </w:p>
        </w:tc>
      </w:tr>
      <w:tr w14:paraId="0E98B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14:paraId="579948BF">
            <w:pPr>
              <w:rPr>
                <w:rFonts w:hint="eastAsia" w:ascii="宋体" w:hAnsi="宋体" w:eastAsia="宋体"/>
                <w:bCs/>
                <w:szCs w:val="21"/>
              </w:rPr>
            </w:pPr>
          </w:p>
        </w:tc>
        <w:tc>
          <w:tcPr>
            <w:tcW w:w="0" w:type="auto"/>
            <w:vMerge w:val="continue"/>
            <w:tcBorders>
              <w:top w:val="nil"/>
              <w:left w:val="single" w:color="auto" w:sz="4" w:space="0"/>
              <w:bottom w:val="single" w:color="auto" w:sz="4" w:space="0"/>
              <w:right w:val="single" w:color="auto" w:sz="4" w:space="0"/>
            </w:tcBorders>
            <w:vAlign w:val="center"/>
          </w:tcPr>
          <w:p w14:paraId="5E2D2DA1">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tcPr>
          <w:p w14:paraId="4526B1A1">
            <w:pPr>
              <w:rPr>
                <w:rFonts w:hint="eastAsia" w:ascii="宋体" w:hAnsi="宋体" w:eastAsia="宋体"/>
                <w:bCs/>
                <w:szCs w:val="21"/>
              </w:rPr>
            </w:pPr>
            <w:r>
              <w:rPr>
                <w:rFonts w:hint="eastAsia" w:ascii="宋体" w:hAnsi="宋体" w:eastAsia="宋体"/>
                <w:bCs/>
                <w:szCs w:val="21"/>
              </w:rPr>
              <w:t>作业前应编制详细的作业方案，作业方案应经本单位相关人员审核和批准</w:t>
            </w:r>
          </w:p>
        </w:tc>
        <w:tc>
          <w:tcPr>
            <w:tcW w:w="1701" w:type="dxa"/>
            <w:gridSpan w:val="2"/>
            <w:tcBorders>
              <w:top w:val="single" w:color="auto" w:sz="4" w:space="0"/>
              <w:left w:val="single" w:color="auto" w:sz="4" w:space="0"/>
              <w:bottom w:val="single" w:color="auto" w:sz="4" w:space="0"/>
              <w:right w:val="single" w:color="auto" w:sz="4" w:space="0"/>
            </w:tcBorders>
          </w:tcPr>
          <w:p w14:paraId="7CD5CE8E">
            <w:pPr>
              <w:rPr>
                <w:rFonts w:hint="eastAsia" w:ascii="宋体" w:hAnsi="宋体" w:eastAsia="宋体"/>
                <w:bCs/>
                <w:szCs w:val="21"/>
              </w:rPr>
            </w:pPr>
            <w:r>
              <w:rPr>
                <w:rFonts w:hint="eastAsia" w:ascii="宋体" w:hAnsi="宋体" w:eastAsia="宋体"/>
                <w:bCs/>
                <w:szCs w:val="21"/>
              </w:rPr>
              <w:t>符合□不符合□</w:t>
            </w:r>
          </w:p>
        </w:tc>
      </w:tr>
      <w:tr w14:paraId="6B34B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vMerge w:val="restart"/>
            <w:tcBorders>
              <w:top w:val="nil"/>
              <w:left w:val="single" w:color="auto" w:sz="4" w:space="0"/>
              <w:bottom w:val="single" w:color="auto" w:sz="4" w:space="0"/>
              <w:right w:val="single" w:color="auto" w:sz="4" w:space="0"/>
            </w:tcBorders>
            <w:vAlign w:val="center"/>
          </w:tcPr>
          <w:p w14:paraId="547EAEDE">
            <w:pPr>
              <w:rPr>
                <w:rFonts w:hint="eastAsia" w:ascii="宋体" w:hAnsi="宋体" w:eastAsia="宋体"/>
                <w:bCs/>
                <w:szCs w:val="21"/>
              </w:rPr>
            </w:pPr>
            <w:r>
              <w:rPr>
                <w:rFonts w:hint="eastAsia" w:ascii="宋体" w:hAnsi="宋体" w:eastAsia="宋体"/>
                <w:bCs/>
                <w:szCs w:val="21"/>
              </w:rPr>
              <w:t>序号</w:t>
            </w:r>
          </w:p>
        </w:tc>
        <w:tc>
          <w:tcPr>
            <w:tcW w:w="1129" w:type="dxa"/>
            <w:vMerge w:val="restart"/>
            <w:tcBorders>
              <w:top w:val="nil"/>
              <w:left w:val="single" w:color="auto" w:sz="4" w:space="0"/>
              <w:bottom w:val="single" w:color="auto" w:sz="4" w:space="0"/>
              <w:right w:val="single" w:color="auto" w:sz="4" w:space="0"/>
            </w:tcBorders>
            <w:vAlign w:val="center"/>
          </w:tcPr>
          <w:p w14:paraId="4A54C332">
            <w:pPr>
              <w:rPr>
                <w:rFonts w:hint="eastAsia" w:ascii="宋体" w:hAnsi="宋体" w:eastAsia="宋体"/>
                <w:bCs/>
                <w:szCs w:val="21"/>
              </w:rPr>
            </w:pPr>
            <w:r>
              <w:rPr>
                <w:rFonts w:hint="eastAsia" w:ascii="宋体" w:hAnsi="宋体" w:eastAsia="宋体"/>
                <w:bCs/>
                <w:szCs w:val="21"/>
              </w:rPr>
              <w:t>评分项目</w:t>
            </w:r>
          </w:p>
        </w:tc>
        <w:tc>
          <w:tcPr>
            <w:tcW w:w="5386" w:type="dxa"/>
            <w:vMerge w:val="restart"/>
            <w:tcBorders>
              <w:top w:val="nil"/>
              <w:left w:val="single" w:color="auto" w:sz="4" w:space="0"/>
              <w:bottom w:val="single" w:color="auto" w:sz="4" w:space="0"/>
              <w:right w:val="single" w:color="auto" w:sz="4" w:space="0"/>
            </w:tcBorders>
            <w:vAlign w:val="center"/>
          </w:tcPr>
          <w:p w14:paraId="029E3562">
            <w:pPr>
              <w:jc w:val="center"/>
              <w:rPr>
                <w:rFonts w:hint="eastAsia" w:ascii="宋体" w:hAnsi="宋体" w:eastAsia="宋体"/>
                <w:bCs/>
                <w:szCs w:val="21"/>
              </w:rPr>
            </w:pPr>
            <w:r>
              <w:rPr>
                <w:rFonts w:hint="eastAsia" w:ascii="宋体" w:hAnsi="宋体" w:eastAsia="宋体"/>
                <w:bCs/>
                <w:szCs w:val="21"/>
              </w:rPr>
              <w:t>扣分标准</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17F3F3C0">
            <w:pPr>
              <w:jc w:val="center"/>
              <w:rPr>
                <w:rFonts w:hint="eastAsia" w:ascii="宋体" w:hAnsi="宋体" w:eastAsia="宋体"/>
                <w:bCs/>
                <w:szCs w:val="21"/>
              </w:rPr>
            </w:pPr>
            <w:r>
              <w:rPr>
                <w:rFonts w:hint="eastAsia" w:ascii="宋体" w:hAnsi="宋体" w:eastAsia="宋体"/>
                <w:bCs/>
                <w:szCs w:val="21"/>
              </w:rPr>
              <w:t>评价得分</w:t>
            </w:r>
          </w:p>
        </w:tc>
      </w:tr>
      <w:tr w14:paraId="5FC16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vMerge w:val="continue"/>
            <w:tcBorders>
              <w:top w:val="nil"/>
              <w:left w:val="single" w:color="auto" w:sz="4" w:space="0"/>
              <w:bottom w:val="single" w:color="auto" w:sz="4" w:space="0"/>
              <w:right w:val="single" w:color="auto" w:sz="4" w:space="0"/>
            </w:tcBorders>
            <w:vAlign w:val="center"/>
          </w:tcPr>
          <w:p w14:paraId="098E0937">
            <w:pPr>
              <w:rPr>
                <w:rFonts w:hint="eastAsia" w:ascii="宋体" w:hAnsi="宋体" w:eastAsia="宋体"/>
                <w:bCs/>
                <w:szCs w:val="21"/>
              </w:rPr>
            </w:pPr>
          </w:p>
        </w:tc>
        <w:tc>
          <w:tcPr>
            <w:tcW w:w="0" w:type="auto"/>
            <w:vMerge w:val="continue"/>
            <w:tcBorders>
              <w:top w:val="nil"/>
              <w:left w:val="single" w:color="auto" w:sz="4" w:space="0"/>
              <w:bottom w:val="single" w:color="auto" w:sz="4" w:space="0"/>
              <w:right w:val="single" w:color="auto" w:sz="4" w:space="0"/>
            </w:tcBorders>
            <w:vAlign w:val="center"/>
          </w:tcPr>
          <w:p w14:paraId="2A73964A">
            <w:pPr>
              <w:rPr>
                <w:rFonts w:hint="eastAsia" w:ascii="宋体" w:hAnsi="宋体" w:eastAsia="宋体"/>
                <w:bCs/>
                <w:szCs w:val="21"/>
              </w:rPr>
            </w:pPr>
          </w:p>
        </w:tc>
        <w:tc>
          <w:tcPr>
            <w:tcW w:w="0" w:type="auto"/>
            <w:vMerge w:val="continue"/>
            <w:tcBorders>
              <w:top w:val="nil"/>
              <w:left w:val="single" w:color="auto" w:sz="4" w:space="0"/>
              <w:bottom w:val="single" w:color="auto" w:sz="4" w:space="0"/>
              <w:right w:val="single" w:color="auto" w:sz="4" w:space="0"/>
            </w:tcBorders>
            <w:vAlign w:val="center"/>
          </w:tcPr>
          <w:p w14:paraId="58AECE78">
            <w:pPr>
              <w:rPr>
                <w:rFonts w:hint="eastAsia" w:ascii="宋体" w:hAnsi="宋体" w:eastAsia="宋体"/>
                <w:bCs/>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7F906267">
            <w:pPr>
              <w:rPr>
                <w:rFonts w:hint="eastAsia" w:ascii="宋体" w:hAnsi="宋体" w:eastAsia="宋体"/>
                <w:bCs/>
                <w:szCs w:val="21"/>
              </w:rPr>
            </w:pPr>
            <w:r>
              <w:rPr>
                <w:rFonts w:hint="eastAsia" w:ascii="宋体" w:hAnsi="宋体" w:eastAsia="宋体"/>
                <w:bCs/>
                <w:szCs w:val="21"/>
              </w:rPr>
              <w:t>应得分</w:t>
            </w:r>
          </w:p>
        </w:tc>
        <w:tc>
          <w:tcPr>
            <w:tcW w:w="850" w:type="dxa"/>
            <w:tcBorders>
              <w:top w:val="single" w:color="auto" w:sz="4" w:space="0"/>
              <w:left w:val="single" w:color="auto" w:sz="4" w:space="0"/>
              <w:bottom w:val="single" w:color="auto" w:sz="4" w:space="0"/>
              <w:right w:val="single" w:color="auto" w:sz="4" w:space="0"/>
            </w:tcBorders>
            <w:vAlign w:val="center"/>
          </w:tcPr>
          <w:p w14:paraId="098CCF89">
            <w:pPr>
              <w:rPr>
                <w:rFonts w:hint="eastAsia" w:ascii="宋体" w:hAnsi="宋体" w:eastAsia="宋体"/>
                <w:bCs/>
                <w:szCs w:val="21"/>
              </w:rPr>
            </w:pPr>
            <w:r>
              <w:rPr>
                <w:rFonts w:hint="eastAsia" w:ascii="宋体" w:hAnsi="宋体" w:eastAsia="宋体"/>
                <w:bCs/>
                <w:szCs w:val="21"/>
              </w:rPr>
              <w:t>实得分</w:t>
            </w:r>
          </w:p>
        </w:tc>
      </w:tr>
      <w:tr w14:paraId="7ADCC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15" w:type="dxa"/>
            <w:tcBorders>
              <w:top w:val="single" w:color="auto" w:sz="4" w:space="0"/>
              <w:left w:val="single" w:color="auto" w:sz="4" w:space="0"/>
              <w:bottom w:val="single" w:color="auto" w:sz="4" w:space="0"/>
              <w:right w:val="single" w:color="auto" w:sz="4" w:space="0"/>
            </w:tcBorders>
            <w:vAlign w:val="center"/>
          </w:tcPr>
          <w:p w14:paraId="1279841F">
            <w:pPr>
              <w:rPr>
                <w:rFonts w:hint="eastAsia" w:ascii="宋体" w:hAnsi="宋体" w:eastAsia="宋体"/>
                <w:bCs/>
                <w:szCs w:val="21"/>
              </w:rPr>
            </w:pPr>
            <w:r>
              <w:rPr>
                <w:rFonts w:hint="eastAsia" w:ascii="宋体" w:hAnsi="宋体" w:eastAsia="宋体"/>
                <w:bCs/>
                <w:szCs w:val="21"/>
              </w:rPr>
              <w:t>1</w:t>
            </w:r>
          </w:p>
        </w:tc>
        <w:tc>
          <w:tcPr>
            <w:tcW w:w="1129" w:type="dxa"/>
            <w:tcBorders>
              <w:top w:val="single" w:color="auto" w:sz="4" w:space="0"/>
              <w:left w:val="single" w:color="auto" w:sz="4" w:space="0"/>
              <w:bottom w:val="single" w:color="auto" w:sz="4" w:space="0"/>
              <w:right w:val="single" w:color="auto" w:sz="4" w:space="0"/>
            </w:tcBorders>
            <w:vAlign w:val="center"/>
          </w:tcPr>
          <w:p w14:paraId="7AEED5A1">
            <w:pPr>
              <w:rPr>
                <w:rFonts w:hint="eastAsia" w:ascii="宋体" w:hAnsi="宋体" w:eastAsia="宋体"/>
                <w:bCs/>
                <w:szCs w:val="21"/>
              </w:rPr>
            </w:pPr>
            <w:r>
              <w:rPr>
                <w:rFonts w:hint="eastAsia" w:ascii="宋体" w:hAnsi="宋体" w:eastAsia="宋体"/>
                <w:bCs/>
                <w:szCs w:val="21"/>
              </w:rPr>
              <w:t>风险辨识与方案管理</w:t>
            </w:r>
          </w:p>
        </w:tc>
        <w:tc>
          <w:tcPr>
            <w:tcW w:w="5386" w:type="dxa"/>
            <w:tcBorders>
              <w:top w:val="single" w:color="auto" w:sz="4" w:space="0"/>
              <w:left w:val="single" w:color="auto" w:sz="4" w:space="0"/>
              <w:bottom w:val="single" w:color="auto" w:sz="4" w:space="0"/>
              <w:right w:val="single" w:color="auto" w:sz="4" w:space="0"/>
            </w:tcBorders>
            <w:vAlign w:val="center"/>
          </w:tcPr>
          <w:p w14:paraId="4B54E4C4">
            <w:pPr>
              <w:rPr>
                <w:rFonts w:hint="eastAsia" w:ascii="宋体" w:hAnsi="宋体" w:eastAsia="宋体"/>
                <w:bCs/>
                <w:szCs w:val="21"/>
              </w:rPr>
            </w:pPr>
            <w:r>
              <w:rPr>
                <w:rFonts w:hint="eastAsia" w:ascii="宋体" w:hAnsi="宋体" w:eastAsia="宋体"/>
                <w:bCs/>
                <w:szCs w:val="21"/>
              </w:rPr>
              <w:t>未建立有限空间作业管理制度，包括作业审批、现场安全管理、培训教育、应急救援、分包作业安全管理等制度，以及安全操作等规程，每项扣5分</w:t>
            </w:r>
          </w:p>
          <w:p w14:paraId="66C14AC6">
            <w:pPr>
              <w:rPr>
                <w:rFonts w:hint="eastAsia" w:ascii="宋体" w:hAnsi="宋体" w:eastAsia="宋体"/>
                <w:bCs/>
                <w:szCs w:val="21"/>
              </w:rPr>
            </w:pPr>
            <w:r>
              <w:rPr>
                <w:rFonts w:hint="eastAsia" w:ascii="宋体" w:hAnsi="宋体" w:eastAsia="宋体"/>
                <w:bCs/>
                <w:szCs w:val="21"/>
              </w:rPr>
              <w:t>作业现场负责人</w:t>
            </w:r>
            <w:r>
              <w:rPr>
                <w:rFonts w:hint="eastAsia" w:ascii="宋体" w:hAnsi="宋体" w:eastAsia="宋体"/>
                <w:bCs/>
                <w:szCs w:val="21"/>
                <w:lang w:val="en-US" w:eastAsia="zh-CN"/>
              </w:rPr>
              <w:t>未</w:t>
            </w:r>
            <w:r>
              <w:rPr>
                <w:rFonts w:hint="eastAsia" w:ascii="宋体" w:hAnsi="宋体" w:eastAsia="宋体"/>
                <w:bCs/>
                <w:szCs w:val="21"/>
              </w:rPr>
              <w:t>对实施作业的全体人员进行安全交底，告知作业内容、作业过程中可能存在的安全风险、作业安全要求和应急处置措施等，扣10分</w:t>
            </w:r>
          </w:p>
          <w:p w14:paraId="1C2D7067">
            <w:pPr>
              <w:rPr>
                <w:rFonts w:hint="eastAsia" w:ascii="宋体" w:hAnsi="宋体" w:eastAsia="宋体"/>
                <w:bCs/>
                <w:szCs w:val="21"/>
              </w:rPr>
            </w:pPr>
            <w:r>
              <w:rPr>
                <w:rFonts w:hint="eastAsia" w:ascii="宋体" w:hAnsi="宋体" w:eastAsia="宋体"/>
                <w:bCs/>
                <w:szCs w:val="21"/>
              </w:rPr>
              <w:t>交底人与被交底人双方未签字确认，扣5分/人</w:t>
            </w:r>
          </w:p>
        </w:tc>
        <w:tc>
          <w:tcPr>
            <w:tcW w:w="851" w:type="dxa"/>
            <w:tcBorders>
              <w:top w:val="single" w:color="auto" w:sz="4" w:space="0"/>
              <w:left w:val="single" w:color="auto" w:sz="4" w:space="0"/>
              <w:bottom w:val="single" w:color="auto" w:sz="4" w:space="0"/>
              <w:right w:val="single" w:color="auto" w:sz="4" w:space="0"/>
            </w:tcBorders>
            <w:vAlign w:val="center"/>
          </w:tcPr>
          <w:p w14:paraId="342DEA20">
            <w:pPr>
              <w:rPr>
                <w:rFonts w:hint="eastAsia" w:ascii="宋体" w:hAnsi="宋体" w:eastAsia="宋体"/>
                <w:bCs/>
                <w:szCs w:val="21"/>
              </w:rPr>
            </w:pPr>
            <w:r>
              <w:rPr>
                <w:rFonts w:hint="eastAsia" w:ascii="宋体" w:hAnsi="宋体" w:eastAsia="宋体"/>
                <w:bCs/>
                <w:szCs w:val="21"/>
              </w:rPr>
              <w:t>30</w:t>
            </w:r>
          </w:p>
        </w:tc>
        <w:tc>
          <w:tcPr>
            <w:tcW w:w="850" w:type="dxa"/>
            <w:tcBorders>
              <w:top w:val="single" w:color="auto" w:sz="4" w:space="0"/>
              <w:left w:val="single" w:color="auto" w:sz="4" w:space="0"/>
              <w:bottom w:val="single" w:color="auto" w:sz="4" w:space="0"/>
              <w:right w:val="single" w:color="auto" w:sz="4" w:space="0"/>
            </w:tcBorders>
          </w:tcPr>
          <w:p w14:paraId="1B2A46BC">
            <w:pPr>
              <w:rPr>
                <w:rFonts w:hint="eastAsia" w:ascii="宋体" w:hAnsi="宋体" w:eastAsia="宋体"/>
                <w:bCs/>
                <w:szCs w:val="21"/>
              </w:rPr>
            </w:pPr>
          </w:p>
        </w:tc>
      </w:tr>
      <w:tr w14:paraId="697E2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tcBorders>
              <w:top w:val="single" w:color="auto" w:sz="4" w:space="0"/>
              <w:left w:val="single" w:color="auto" w:sz="4" w:space="0"/>
              <w:bottom w:val="single" w:color="auto" w:sz="4" w:space="0"/>
              <w:right w:val="single" w:color="auto" w:sz="4" w:space="0"/>
            </w:tcBorders>
            <w:vAlign w:val="center"/>
          </w:tcPr>
          <w:p w14:paraId="5A9B9958">
            <w:pPr>
              <w:rPr>
                <w:rFonts w:hint="eastAsia" w:ascii="宋体" w:hAnsi="宋体" w:eastAsia="宋体"/>
                <w:bCs/>
                <w:szCs w:val="21"/>
              </w:rPr>
            </w:pPr>
            <w:r>
              <w:rPr>
                <w:rFonts w:hint="eastAsia" w:ascii="宋体" w:hAnsi="宋体" w:eastAsia="宋体"/>
                <w:bCs/>
                <w:szCs w:val="21"/>
              </w:rPr>
              <w:t>2</w:t>
            </w:r>
          </w:p>
        </w:tc>
        <w:tc>
          <w:tcPr>
            <w:tcW w:w="1129" w:type="dxa"/>
            <w:tcBorders>
              <w:top w:val="single" w:color="auto" w:sz="4" w:space="0"/>
              <w:left w:val="single" w:color="auto" w:sz="4" w:space="0"/>
              <w:bottom w:val="single" w:color="auto" w:sz="4" w:space="0"/>
              <w:right w:val="single" w:color="auto" w:sz="4" w:space="0"/>
            </w:tcBorders>
            <w:vAlign w:val="center"/>
          </w:tcPr>
          <w:p w14:paraId="3E55663D">
            <w:pPr>
              <w:rPr>
                <w:rFonts w:hint="eastAsia" w:ascii="宋体" w:hAnsi="宋体" w:eastAsia="宋体"/>
                <w:bCs/>
                <w:szCs w:val="21"/>
              </w:rPr>
            </w:pPr>
            <w:r>
              <w:rPr>
                <w:rFonts w:hint="eastAsia" w:ascii="宋体" w:hAnsi="宋体" w:eastAsia="宋体"/>
                <w:bCs/>
                <w:szCs w:val="21"/>
              </w:rPr>
              <w:t>安全防护设备设施</w:t>
            </w:r>
          </w:p>
        </w:tc>
        <w:tc>
          <w:tcPr>
            <w:tcW w:w="5386" w:type="dxa"/>
            <w:tcBorders>
              <w:top w:val="single" w:color="auto" w:sz="4" w:space="0"/>
              <w:left w:val="single" w:color="auto" w:sz="4" w:space="0"/>
              <w:bottom w:val="single" w:color="auto" w:sz="4" w:space="0"/>
              <w:right w:val="single" w:color="auto" w:sz="4" w:space="0"/>
            </w:tcBorders>
            <w:vAlign w:val="center"/>
          </w:tcPr>
          <w:p w14:paraId="5E4004E0">
            <w:pPr>
              <w:rPr>
                <w:rFonts w:hint="eastAsia" w:ascii="宋体" w:hAnsi="宋体" w:eastAsia="宋体"/>
                <w:bCs/>
                <w:szCs w:val="21"/>
              </w:rPr>
            </w:pPr>
            <w:r>
              <w:rPr>
                <w:rFonts w:hint="eastAsia" w:ascii="宋体" w:hAnsi="宋体" w:eastAsia="宋体"/>
                <w:bCs/>
                <w:szCs w:val="21"/>
              </w:rPr>
              <w:t>未配备满足有限空间作业需求的个体防护、通风、检测、通讯和照明等装备，每项扣3分/项</w:t>
            </w:r>
          </w:p>
          <w:p w14:paraId="4BE4F16B">
            <w:pPr>
              <w:rPr>
                <w:rFonts w:hint="eastAsia" w:ascii="宋体" w:hAnsi="宋体" w:eastAsia="宋体"/>
                <w:bCs/>
                <w:szCs w:val="21"/>
              </w:rPr>
            </w:pPr>
            <w:r>
              <w:rPr>
                <w:rFonts w:hint="eastAsia" w:ascii="宋体" w:hAnsi="宋体" w:eastAsia="宋体"/>
                <w:bCs/>
                <w:szCs w:val="21"/>
              </w:rPr>
              <w:t>未做好安全装备维护、保养、检定更换等工作扣5分/项</w:t>
            </w:r>
          </w:p>
        </w:tc>
        <w:tc>
          <w:tcPr>
            <w:tcW w:w="851" w:type="dxa"/>
            <w:tcBorders>
              <w:top w:val="single" w:color="auto" w:sz="4" w:space="0"/>
              <w:left w:val="single" w:color="auto" w:sz="4" w:space="0"/>
              <w:bottom w:val="single" w:color="auto" w:sz="4" w:space="0"/>
              <w:right w:val="single" w:color="auto" w:sz="4" w:space="0"/>
            </w:tcBorders>
            <w:vAlign w:val="center"/>
          </w:tcPr>
          <w:p w14:paraId="393D44D5">
            <w:pPr>
              <w:rPr>
                <w:rFonts w:hint="eastAsia" w:ascii="宋体" w:hAnsi="宋体" w:eastAsia="宋体"/>
                <w:bCs/>
                <w:szCs w:val="21"/>
              </w:rPr>
            </w:pPr>
            <w:r>
              <w:rPr>
                <w:rFonts w:hint="eastAsia" w:ascii="宋体" w:hAnsi="宋体" w:eastAsia="宋体"/>
                <w:bCs/>
                <w:szCs w:val="21"/>
              </w:rPr>
              <w:t>10</w:t>
            </w:r>
          </w:p>
        </w:tc>
        <w:tc>
          <w:tcPr>
            <w:tcW w:w="850" w:type="dxa"/>
            <w:tcBorders>
              <w:top w:val="single" w:color="auto" w:sz="4" w:space="0"/>
              <w:left w:val="single" w:color="auto" w:sz="4" w:space="0"/>
              <w:bottom w:val="single" w:color="auto" w:sz="4" w:space="0"/>
              <w:right w:val="single" w:color="auto" w:sz="4" w:space="0"/>
            </w:tcBorders>
          </w:tcPr>
          <w:p w14:paraId="6762A503">
            <w:pPr>
              <w:rPr>
                <w:rFonts w:hint="eastAsia" w:ascii="宋体" w:hAnsi="宋体" w:eastAsia="宋体"/>
                <w:bCs/>
                <w:szCs w:val="21"/>
              </w:rPr>
            </w:pPr>
          </w:p>
        </w:tc>
      </w:tr>
      <w:tr w14:paraId="51A6D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tcBorders>
              <w:top w:val="single" w:color="auto" w:sz="4" w:space="0"/>
              <w:left w:val="single" w:color="auto" w:sz="4" w:space="0"/>
              <w:bottom w:val="single" w:color="auto" w:sz="4" w:space="0"/>
              <w:right w:val="single" w:color="auto" w:sz="4" w:space="0"/>
            </w:tcBorders>
            <w:vAlign w:val="center"/>
          </w:tcPr>
          <w:p w14:paraId="2CB6D230">
            <w:pPr>
              <w:rPr>
                <w:rFonts w:hint="eastAsia" w:ascii="宋体" w:hAnsi="宋体" w:eastAsia="宋体"/>
                <w:bCs/>
                <w:szCs w:val="21"/>
              </w:rPr>
            </w:pPr>
            <w:r>
              <w:rPr>
                <w:rFonts w:hint="eastAsia" w:ascii="宋体" w:hAnsi="宋体" w:eastAsia="宋体"/>
                <w:bCs/>
                <w:szCs w:val="21"/>
              </w:rPr>
              <w:t>3</w:t>
            </w:r>
          </w:p>
        </w:tc>
        <w:tc>
          <w:tcPr>
            <w:tcW w:w="1129" w:type="dxa"/>
            <w:tcBorders>
              <w:top w:val="single" w:color="auto" w:sz="4" w:space="0"/>
              <w:left w:val="single" w:color="auto" w:sz="4" w:space="0"/>
              <w:bottom w:val="single" w:color="auto" w:sz="4" w:space="0"/>
              <w:right w:val="single" w:color="auto" w:sz="4" w:space="0"/>
            </w:tcBorders>
            <w:vAlign w:val="center"/>
          </w:tcPr>
          <w:p w14:paraId="2CF883B6">
            <w:pPr>
              <w:rPr>
                <w:rFonts w:hint="eastAsia" w:ascii="宋体" w:hAnsi="宋体" w:eastAsia="宋体"/>
                <w:bCs/>
                <w:szCs w:val="21"/>
              </w:rPr>
            </w:pPr>
            <w:r>
              <w:rPr>
                <w:rFonts w:hint="eastAsia" w:ascii="宋体" w:hAnsi="宋体" w:eastAsia="宋体"/>
                <w:bCs/>
                <w:szCs w:val="21"/>
              </w:rPr>
              <w:t>现场安全管理</w:t>
            </w:r>
          </w:p>
        </w:tc>
        <w:tc>
          <w:tcPr>
            <w:tcW w:w="5386" w:type="dxa"/>
            <w:tcBorders>
              <w:top w:val="single" w:color="auto" w:sz="4" w:space="0"/>
              <w:left w:val="single" w:color="auto" w:sz="4" w:space="0"/>
              <w:bottom w:val="single" w:color="auto" w:sz="4" w:space="0"/>
              <w:right w:val="single" w:color="auto" w:sz="4" w:space="0"/>
            </w:tcBorders>
            <w:vAlign w:val="center"/>
          </w:tcPr>
          <w:p w14:paraId="04E1E8F9">
            <w:pPr>
              <w:rPr>
                <w:rFonts w:hint="eastAsia" w:ascii="宋体" w:hAnsi="宋体" w:eastAsia="宋体"/>
                <w:bCs/>
                <w:szCs w:val="21"/>
              </w:rPr>
            </w:pPr>
            <w:r>
              <w:rPr>
                <w:rFonts w:hint="eastAsia" w:ascii="宋体" w:hAnsi="宋体" w:eastAsia="宋体"/>
                <w:bCs/>
                <w:szCs w:val="21"/>
              </w:rPr>
              <w:t>作业人员未正确佩戴与有限空间作业相关专用劳动防护用品，扣2分/人</w:t>
            </w:r>
          </w:p>
          <w:p w14:paraId="5EF4B996">
            <w:pPr>
              <w:rPr>
                <w:rFonts w:hint="eastAsia" w:ascii="宋体" w:hAnsi="宋体" w:eastAsia="宋体"/>
                <w:bCs/>
                <w:szCs w:val="21"/>
              </w:rPr>
            </w:pPr>
            <w:r>
              <w:rPr>
                <w:rFonts w:hint="eastAsia" w:ascii="宋体" w:hAnsi="宋体" w:eastAsia="宋体"/>
                <w:bCs/>
                <w:szCs w:val="21"/>
              </w:rPr>
              <w:t>未办理作业票的，申请、核准流程不规范，扣5分/次</w:t>
            </w:r>
          </w:p>
          <w:p w14:paraId="6690DA6B">
            <w:pPr>
              <w:rPr>
                <w:rFonts w:hint="eastAsia" w:ascii="宋体" w:hAnsi="宋体" w:eastAsia="宋体"/>
                <w:bCs/>
                <w:szCs w:val="21"/>
              </w:rPr>
            </w:pPr>
            <w:r>
              <w:rPr>
                <w:rFonts w:hint="eastAsia" w:ascii="宋体" w:hAnsi="宋体" w:eastAsia="宋体"/>
                <w:bCs/>
                <w:szCs w:val="21"/>
              </w:rPr>
              <w:t>未对有害物质采取隔离、清理与加固等措施，施工单位未签发作业票，扣5分/处</w:t>
            </w:r>
          </w:p>
          <w:p w14:paraId="1CCCF9CE">
            <w:pPr>
              <w:rPr>
                <w:rFonts w:hint="eastAsia" w:ascii="宋体" w:hAnsi="宋体" w:eastAsia="宋体"/>
                <w:bCs/>
                <w:szCs w:val="21"/>
              </w:rPr>
            </w:pPr>
            <w:r>
              <w:rPr>
                <w:rFonts w:hint="eastAsia" w:ascii="宋体" w:hAnsi="宋体" w:eastAsia="宋体"/>
                <w:bCs/>
                <w:szCs w:val="21"/>
              </w:rPr>
              <w:t>作业前未使用泵吸式气体检测报警仪对有限空间内气体进行检测，作业过程中未监测，扣5分/处</w:t>
            </w:r>
          </w:p>
          <w:p w14:paraId="086DAA29">
            <w:pPr>
              <w:rPr>
                <w:rFonts w:hint="eastAsia" w:ascii="宋体" w:hAnsi="宋体" w:eastAsia="宋体"/>
                <w:bCs/>
                <w:szCs w:val="21"/>
              </w:rPr>
            </w:pPr>
            <w:r>
              <w:rPr>
                <w:rFonts w:hint="eastAsia" w:ascii="宋体" w:hAnsi="宋体" w:eastAsia="宋体"/>
                <w:bCs/>
                <w:szCs w:val="21"/>
              </w:rPr>
              <w:t>发生异常情况作业人员未立即中断作业并撤离有限空间，扣40分/处</w:t>
            </w:r>
          </w:p>
          <w:p w14:paraId="49D839FD">
            <w:pPr>
              <w:rPr>
                <w:rFonts w:hint="eastAsia" w:ascii="宋体" w:hAnsi="宋体" w:eastAsia="宋体"/>
                <w:bCs/>
                <w:szCs w:val="21"/>
              </w:rPr>
            </w:pPr>
            <w:r>
              <w:rPr>
                <w:rFonts w:hint="eastAsia" w:ascii="宋体" w:hAnsi="宋体" w:eastAsia="宋体"/>
                <w:bCs/>
                <w:szCs w:val="21"/>
              </w:rPr>
              <w:t>作业完成后作业人员未将全部设备和工具带离有限空间，未清点人员和设备，未关闭进出口，扣10分/处</w:t>
            </w:r>
          </w:p>
          <w:p w14:paraId="38AE2DF2">
            <w:pPr>
              <w:rPr>
                <w:rFonts w:hint="eastAsia" w:ascii="宋体" w:hAnsi="宋体" w:eastAsia="宋体"/>
                <w:bCs/>
                <w:szCs w:val="21"/>
              </w:rPr>
            </w:pPr>
            <w:r>
              <w:rPr>
                <w:rFonts w:hint="eastAsia" w:ascii="宋体" w:hAnsi="宋体" w:eastAsia="宋体"/>
                <w:bCs/>
                <w:szCs w:val="21"/>
              </w:rPr>
              <w:t>存在有限空间作业的单位未严格落实各项安全防控措施，未定期开展排查并消除事故隐患，扣10分</w:t>
            </w:r>
          </w:p>
        </w:tc>
        <w:tc>
          <w:tcPr>
            <w:tcW w:w="851" w:type="dxa"/>
            <w:tcBorders>
              <w:top w:val="single" w:color="auto" w:sz="4" w:space="0"/>
              <w:left w:val="single" w:color="auto" w:sz="4" w:space="0"/>
              <w:bottom w:val="single" w:color="auto" w:sz="4" w:space="0"/>
              <w:right w:val="single" w:color="auto" w:sz="4" w:space="0"/>
            </w:tcBorders>
            <w:vAlign w:val="center"/>
          </w:tcPr>
          <w:p w14:paraId="32ECEDE1">
            <w:pPr>
              <w:rPr>
                <w:rFonts w:hint="eastAsia" w:ascii="宋体" w:hAnsi="宋体" w:eastAsia="宋体"/>
                <w:bCs/>
                <w:szCs w:val="21"/>
              </w:rPr>
            </w:pPr>
            <w:r>
              <w:rPr>
                <w:rFonts w:hint="eastAsia" w:ascii="宋体" w:hAnsi="宋体" w:eastAsia="宋体"/>
                <w:bCs/>
                <w:szCs w:val="21"/>
              </w:rPr>
              <w:t>40</w:t>
            </w:r>
          </w:p>
        </w:tc>
        <w:tc>
          <w:tcPr>
            <w:tcW w:w="850" w:type="dxa"/>
            <w:tcBorders>
              <w:top w:val="single" w:color="auto" w:sz="4" w:space="0"/>
              <w:left w:val="single" w:color="auto" w:sz="4" w:space="0"/>
              <w:bottom w:val="single" w:color="auto" w:sz="4" w:space="0"/>
              <w:right w:val="single" w:color="auto" w:sz="4" w:space="0"/>
            </w:tcBorders>
          </w:tcPr>
          <w:p w14:paraId="5D3E631A">
            <w:pPr>
              <w:rPr>
                <w:rFonts w:hint="eastAsia" w:ascii="宋体" w:hAnsi="宋体" w:eastAsia="宋体"/>
                <w:bCs/>
                <w:szCs w:val="21"/>
              </w:rPr>
            </w:pPr>
          </w:p>
        </w:tc>
      </w:tr>
      <w:tr w14:paraId="736F4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715" w:type="dxa"/>
            <w:tcBorders>
              <w:top w:val="single" w:color="auto" w:sz="4" w:space="0"/>
              <w:left w:val="single" w:color="auto" w:sz="4" w:space="0"/>
              <w:bottom w:val="single" w:color="auto" w:sz="4" w:space="0"/>
              <w:right w:val="single" w:color="auto" w:sz="4" w:space="0"/>
            </w:tcBorders>
            <w:vAlign w:val="center"/>
          </w:tcPr>
          <w:p w14:paraId="2010F621">
            <w:pPr>
              <w:rPr>
                <w:rFonts w:hint="eastAsia" w:ascii="宋体" w:hAnsi="宋体" w:eastAsia="宋体"/>
                <w:bCs/>
                <w:szCs w:val="21"/>
              </w:rPr>
            </w:pPr>
            <w:r>
              <w:rPr>
                <w:rFonts w:hint="eastAsia" w:ascii="宋体" w:hAnsi="宋体" w:eastAsia="宋体"/>
                <w:bCs/>
                <w:szCs w:val="21"/>
              </w:rPr>
              <w:t>4</w:t>
            </w:r>
          </w:p>
        </w:tc>
        <w:tc>
          <w:tcPr>
            <w:tcW w:w="1129" w:type="dxa"/>
            <w:tcBorders>
              <w:top w:val="single" w:color="auto" w:sz="4" w:space="0"/>
              <w:left w:val="single" w:color="auto" w:sz="4" w:space="0"/>
              <w:bottom w:val="single" w:color="auto" w:sz="4" w:space="0"/>
              <w:right w:val="single" w:color="auto" w:sz="4" w:space="0"/>
            </w:tcBorders>
            <w:vAlign w:val="center"/>
          </w:tcPr>
          <w:p w14:paraId="0D86CD6B">
            <w:pPr>
              <w:rPr>
                <w:rFonts w:hint="eastAsia" w:ascii="宋体" w:hAnsi="宋体" w:eastAsia="宋体"/>
                <w:bCs/>
                <w:szCs w:val="21"/>
              </w:rPr>
            </w:pPr>
            <w:r>
              <w:rPr>
                <w:rFonts w:hint="eastAsia" w:ascii="宋体" w:hAnsi="宋体" w:eastAsia="宋体"/>
                <w:bCs/>
                <w:szCs w:val="21"/>
              </w:rPr>
              <w:t>应急管理</w:t>
            </w:r>
          </w:p>
        </w:tc>
        <w:tc>
          <w:tcPr>
            <w:tcW w:w="5386" w:type="dxa"/>
            <w:tcBorders>
              <w:top w:val="single" w:color="auto" w:sz="4" w:space="0"/>
              <w:left w:val="single" w:color="auto" w:sz="4" w:space="0"/>
              <w:bottom w:val="single" w:color="auto" w:sz="4" w:space="0"/>
              <w:right w:val="single" w:color="auto" w:sz="4" w:space="0"/>
            </w:tcBorders>
            <w:vAlign w:val="center"/>
          </w:tcPr>
          <w:p w14:paraId="4DCFE7A9">
            <w:pPr>
              <w:rPr>
                <w:rFonts w:hint="eastAsia" w:ascii="宋体" w:hAnsi="宋体" w:eastAsia="宋体"/>
                <w:bCs/>
                <w:szCs w:val="21"/>
              </w:rPr>
            </w:pPr>
            <w:r>
              <w:rPr>
                <w:rFonts w:hint="eastAsia" w:ascii="宋体" w:hAnsi="宋体" w:eastAsia="宋体"/>
                <w:bCs/>
                <w:szCs w:val="21"/>
              </w:rPr>
              <w:t>未制定限空间作业应急预案或现场处置方案，扣5分</w:t>
            </w:r>
          </w:p>
          <w:p w14:paraId="3B8C799D">
            <w:pPr>
              <w:rPr>
                <w:rFonts w:hint="eastAsia" w:ascii="宋体" w:hAnsi="宋体" w:eastAsia="宋体"/>
                <w:bCs/>
                <w:szCs w:val="21"/>
              </w:rPr>
            </w:pPr>
            <w:r>
              <w:rPr>
                <w:rFonts w:hint="eastAsia" w:ascii="宋体" w:hAnsi="宋体" w:eastAsia="宋体"/>
                <w:bCs/>
                <w:szCs w:val="21"/>
              </w:rPr>
              <w:t>未定期组织有限空间安全培训，扣2分/人</w:t>
            </w:r>
          </w:p>
          <w:p w14:paraId="32856162">
            <w:pPr>
              <w:rPr>
                <w:rFonts w:hint="eastAsia" w:ascii="宋体" w:hAnsi="宋体" w:eastAsia="宋体"/>
                <w:bCs/>
                <w:szCs w:val="21"/>
              </w:rPr>
            </w:pPr>
            <w:r>
              <w:rPr>
                <w:rFonts w:hint="eastAsia" w:ascii="宋体" w:hAnsi="宋体" w:eastAsia="宋体"/>
                <w:bCs/>
                <w:szCs w:val="21"/>
              </w:rPr>
              <w:t>未制定有限空间作业安全事故专项应急预案或现场处置方案并组织演练，扣10分</w:t>
            </w:r>
          </w:p>
        </w:tc>
        <w:tc>
          <w:tcPr>
            <w:tcW w:w="851" w:type="dxa"/>
            <w:tcBorders>
              <w:top w:val="single" w:color="auto" w:sz="4" w:space="0"/>
              <w:left w:val="single" w:color="auto" w:sz="4" w:space="0"/>
              <w:bottom w:val="single" w:color="auto" w:sz="4" w:space="0"/>
              <w:right w:val="single" w:color="auto" w:sz="4" w:space="0"/>
            </w:tcBorders>
            <w:vAlign w:val="center"/>
          </w:tcPr>
          <w:p w14:paraId="726A86E0">
            <w:pPr>
              <w:rPr>
                <w:rFonts w:hint="eastAsia" w:ascii="宋体" w:hAnsi="宋体" w:eastAsia="宋体"/>
                <w:bCs/>
                <w:szCs w:val="21"/>
              </w:rPr>
            </w:pPr>
            <w:r>
              <w:rPr>
                <w:rFonts w:hint="eastAsia" w:ascii="宋体" w:hAnsi="宋体" w:eastAsia="宋体"/>
                <w:bCs/>
                <w:szCs w:val="21"/>
              </w:rPr>
              <w:t>20</w:t>
            </w:r>
          </w:p>
        </w:tc>
        <w:tc>
          <w:tcPr>
            <w:tcW w:w="850" w:type="dxa"/>
            <w:tcBorders>
              <w:top w:val="single" w:color="auto" w:sz="4" w:space="0"/>
              <w:left w:val="single" w:color="auto" w:sz="4" w:space="0"/>
              <w:bottom w:val="single" w:color="auto" w:sz="4" w:space="0"/>
              <w:right w:val="single" w:color="auto" w:sz="4" w:space="0"/>
            </w:tcBorders>
          </w:tcPr>
          <w:p w14:paraId="6438F22D">
            <w:pPr>
              <w:rPr>
                <w:rFonts w:hint="eastAsia" w:ascii="宋体" w:hAnsi="宋体" w:eastAsia="宋体"/>
                <w:bCs/>
                <w:szCs w:val="21"/>
              </w:rPr>
            </w:pPr>
          </w:p>
        </w:tc>
      </w:tr>
      <w:tr w14:paraId="37D7B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gridSpan w:val="2"/>
            <w:tcBorders>
              <w:top w:val="single" w:color="auto" w:sz="4" w:space="0"/>
              <w:left w:val="single" w:color="auto" w:sz="4" w:space="0"/>
              <w:bottom w:val="single" w:color="auto" w:sz="4" w:space="0"/>
              <w:right w:val="single" w:color="auto" w:sz="4" w:space="0"/>
            </w:tcBorders>
          </w:tcPr>
          <w:p w14:paraId="28211C42">
            <w:pPr>
              <w:rPr>
                <w:rFonts w:hint="eastAsia" w:ascii="宋体" w:hAnsi="宋体" w:eastAsia="宋体"/>
                <w:bCs/>
                <w:szCs w:val="21"/>
              </w:rPr>
            </w:pPr>
            <w:r>
              <w:rPr>
                <w:rFonts w:hint="eastAsia" w:ascii="宋体" w:hAnsi="宋体" w:eastAsia="宋体"/>
                <w:bCs/>
                <w:szCs w:val="21"/>
              </w:rPr>
              <w:t>评价项目合计</w:t>
            </w:r>
          </w:p>
        </w:tc>
        <w:tc>
          <w:tcPr>
            <w:tcW w:w="5386" w:type="dxa"/>
            <w:tcBorders>
              <w:top w:val="single" w:color="auto" w:sz="4" w:space="0"/>
              <w:left w:val="single" w:color="auto" w:sz="4" w:space="0"/>
              <w:bottom w:val="single" w:color="auto" w:sz="4" w:space="0"/>
              <w:right w:val="single" w:color="auto" w:sz="4" w:space="0"/>
            </w:tcBorders>
          </w:tcPr>
          <w:p w14:paraId="42877BA0">
            <w:pPr>
              <w:rPr>
                <w:rFonts w:hint="eastAsia" w:ascii="宋体" w:hAnsi="宋体" w:eastAsia="宋体"/>
                <w:bCs/>
                <w:szCs w:val="21"/>
              </w:rPr>
            </w:pPr>
          </w:p>
        </w:tc>
        <w:tc>
          <w:tcPr>
            <w:tcW w:w="851" w:type="dxa"/>
            <w:tcBorders>
              <w:top w:val="single" w:color="auto" w:sz="4" w:space="0"/>
              <w:left w:val="single" w:color="auto" w:sz="4" w:space="0"/>
              <w:bottom w:val="single" w:color="auto" w:sz="4" w:space="0"/>
              <w:right w:val="single" w:color="auto" w:sz="4" w:space="0"/>
            </w:tcBorders>
          </w:tcPr>
          <w:p w14:paraId="0027FDBF">
            <w:pPr>
              <w:rPr>
                <w:rFonts w:hint="eastAsia" w:ascii="宋体" w:hAnsi="宋体" w:eastAsia="宋体"/>
                <w:bCs/>
                <w:szCs w:val="21"/>
              </w:rPr>
            </w:pPr>
            <w:r>
              <w:rPr>
                <w:rFonts w:hint="eastAsia" w:ascii="宋体" w:hAnsi="宋体" w:eastAsia="宋体"/>
                <w:bCs/>
                <w:szCs w:val="21"/>
              </w:rPr>
              <w:t>100</w:t>
            </w:r>
          </w:p>
        </w:tc>
        <w:tc>
          <w:tcPr>
            <w:tcW w:w="850" w:type="dxa"/>
            <w:tcBorders>
              <w:top w:val="single" w:color="auto" w:sz="4" w:space="0"/>
              <w:left w:val="single" w:color="auto" w:sz="4" w:space="0"/>
              <w:bottom w:val="single" w:color="auto" w:sz="4" w:space="0"/>
              <w:right w:val="single" w:color="auto" w:sz="4" w:space="0"/>
            </w:tcBorders>
          </w:tcPr>
          <w:p w14:paraId="4AAEA7A0">
            <w:pPr>
              <w:rPr>
                <w:rFonts w:hint="eastAsia" w:ascii="宋体" w:hAnsi="宋体" w:eastAsia="宋体"/>
                <w:bCs/>
                <w:szCs w:val="21"/>
              </w:rPr>
            </w:pPr>
          </w:p>
        </w:tc>
      </w:tr>
    </w:tbl>
    <w:p w14:paraId="45BEB101">
      <w:pPr>
        <w:rPr>
          <w:rFonts w:hint="eastAsia"/>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020"/>
    <w:rsid w:val="000410EB"/>
    <w:rsid w:val="000619FE"/>
    <w:rsid w:val="002B3986"/>
    <w:rsid w:val="00353275"/>
    <w:rsid w:val="00407F9E"/>
    <w:rsid w:val="004C6A3D"/>
    <w:rsid w:val="00572BDE"/>
    <w:rsid w:val="00664863"/>
    <w:rsid w:val="00790020"/>
    <w:rsid w:val="007A1638"/>
    <w:rsid w:val="00953BAE"/>
    <w:rsid w:val="00985077"/>
    <w:rsid w:val="00AA20C7"/>
    <w:rsid w:val="00AC7E4B"/>
    <w:rsid w:val="00AE1EDA"/>
    <w:rsid w:val="00B37160"/>
    <w:rsid w:val="00C04055"/>
    <w:rsid w:val="00C81323"/>
    <w:rsid w:val="00F8237C"/>
    <w:rsid w:val="2FA86D99"/>
    <w:rsid w:val="381B614B"/>
    <w:rsid w:val="44133B65"/>
    <w:rsid w:val="54EF7188"/>
    <w:rsid w:val="68E57A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7"/>
    <w:unhideWhenUsed/>
    <w:qFormat/>
    <w:uiPriority w:val="99"/>
    <w:pPr>
      <w:tabs>
        <w:tab w:val="center" w:pos="4153"/>
        <w:tab w:val="right" w:pos="8306"/>
      </w:tabs>
      <w:snapToGrid w:val="0"/>
      <w:jc w:val="left"/>
    </w:pPr>
    <w:rPr>
      <w:sz w:val="18"/>
      <w:szCs w:val="18"/>
    </w:rPr>
  </w:style>
  <w:style w:type="paragraph" w:styleId="12">
    <w:name w:val="header"/>
    <w:basedOn w:val="1"/>
    <w:link w:val="36"/>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7"/>
    <w:link w:val="5"/>
    <w:semiHidden/>
    <w:qFormat/>
    <w:uiPriority w:val="9"/>
    <w:rPr>
      <w:rFonts w:cstheme="majorBidi"/>
      <w:color w:val="104862" w:themeColor="accent1" w:themeShade="BF"/>
      <w:sz w:val="28"/>
      <w:szCs w:val="28"/>
    </w:rPr>
  </w:style>
  <w:style w:type="character" w:customStyle="1" w:styleId="22">
    <w:name w:val="标题 5 字符"/>
    <w:basedOn w:val="17"/>
    <w:link w:val="6"/>
    <w:semiHidden/>
    <w:qFormat/>
    <w:uiPriority w:val="9"/>
    <w:rPr>
      <w:rFonts w:cstheme="majorBidi"/>
      <w:color w:val="104862" w:themeColor="accent1" w:themeShade="BF"/>
      <w:sz w:val="24"/>
      <w:szCs w:val="24"/>
    </w:rPr>
  </w:style>
  <w:style w:type="character" w:customStyle="1" w:styleId="23">
    <w:name w:val="标题 6 字符"/>
    <w:basedOn w:val="17"/>
    <w:link w:val="7"/>
    <w:semiHidden/>
    <w:qFormat/>
    <w:uiPriority w:val="9"/>
    <w:rPr>
      <w:rFonts w:cstheme="majorBidi"/>
      <w:b/>
      <w:bCs/>
      <w:color w:val="104862" w:themeColor="accent1" w:themeShade="BF"/>
    </w:rPr>
  </w:style>
  <w:style w:type="character" w:customStyle="1" w:styleId="24">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4"/>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明显强调1"/>
    <w:basedOn w:val="17"/>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明显引用 字符"/>
    <w:basedOn w:val="17"/>
    <w:link w:val="33"/>
    <w:uiPriority w:val="30"/>
    <w:rPr>
      <w:i/>
      <w:iCs/>
      <w:color w:val="104862" w:themeColor="accent1" w:themeShade="BF"/>
    </w:rPr>
  </w:style>
  <w:style w:type="character" w:customStyle="1" w:styleId="35">
    <w:name w:val="明显参考1"/>
    <w:basedOn w:val="17"/>
    <w:qFormat/>
    <w:uiPriority w:val="32"/>
    <w:rPr>
      <w:b/>
      <w:bCs/>
      <w:smallCaps/>
      <w:color w:val="104862" w:themeColor="accent1" w:themeShade="BF"/>
      <w:spacing w:val="5"/>
    </w:rPr>
  </w:style>
  <w:style w:type="character" w:customStyle="1" w:styleId="36">
    <w:name w:val="页眉 字符"/>
    <w:basedOn w:val="17"/>
    <w:link w:val="12"/>
    <w:qFormat/>
    <w:uiPriority w:val="99"/>
    <w:rPr>
      <w:kern w:val="2"/>
      <w:sz w:val="18"/>
      <w:szCs w:val="18"/>
    </w:rPr>
  </w:style>
  <w:style w:type="character" w:customStyle="1" w:styleId="37">
    <w:name w:val="页脚 字符"/>
    <w:basedOn w:val="17"/>
    <w:link w:val="11"/>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856</Words>
  <Characters>869</Characters>
  <Lines>53</Lines>
  <Paragraphs>56</Paragraphs>
  <TotalTime>5</TotalTime>
  <ScaleCrop>false</ScaleCrop>
  <LinksUpToDate>false</LinksUpToDate>
  <CharactersWithSpaces>871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2025-05-02T04:57:00Z</dcterms:created>
  <dc:creator>航 吴</dc:creator>
  <cp:lastModifiedBy>吴航</cp:lastModifiedBy>
  <dcterms:modified xsi:type="dcterms:W3CDTF">2025-06-03T01:22:12Z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eyJoZGlkIjoiMWQ3OTk5ODcyNTVmNmM0NTdmMWJlNzA5Y2U0ZmJlYWIiLCJ1c2VySWQiOiI1Njc5NDE1ODIifQ==</vt:lpwstr>
  </property>
  <property fmtid="{D5CDD505-2E9C-101B-9397-08002B2CF9AE}" pid="3" name="KSOProductBuildVer">
    <vt:lpwstr>2052-12.1.0.20784</vt:lpwstr>
  </property>
  <property fmtid="{D5CDD505-2E9C-101B-9397-08002B2CF9AE}" pid="4" name="ICV">
    <vt:lpwstr>4481FE4C371D48EE8C70D71D2651551F_12</vt:lpwstr>
  </property>
</Properties>
</file>