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7CD84">
      <w:pPr>
        <w:jc w:val="center"/>
        <w:rPr>
          <w:rFonts w:hint="eastAsia" w:ascii="宋体" w:hAnsi="宋体" w:eastAsia="宋体"/>
          <w:b/>
          <w:sz w:val="28"/>
          <w:szCs w:val="28"/>
        </w:rPr>
      </w:pPr>
      <w:r>
        <w:rPr>
          <w:rFonts w:hint="eastAsia" w:ascii="宋体" w:hAnsi="宋体" w:eastAsia="宋体"/>
          <w:b/>
          <w:sz w:val="28"/>
          <w:szCs w:val="28"/>
          <w:lang w:val="en-US" w:eastAsia="zh-CN"/>
        </w:rPr>
        <w:t>市政</w:t>
      </w:r>
      <w:r>
        <w:rPr>
          <w:rFonts w:hint="eastAsia" w:ascii="宋体" w:hAnsi="宋体" w:eastAsia="宋体"/>
          <w:b/>
          <w:sz w:val="28"/>
          <w:szCs w:val="28"/>
        </w:rPr>
        <w:t>表B9  高处作业评价评分表</w:t>
      </w:r>
    </w:p>
    <w:tbl>
      <w:tblPr>
        <w:tblStyle w:val="16"/>
        <w:tblW w:w="893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129"/>
        <w:gridCol w:w="5386"/>
        <w:gridCol w:w="851"/>
        <w:gridCol w:w="850"/>
      </w:tblGrid>
      <w:tr w14:paraId="22D1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tcPr>
          <w:p w14:paraId="5691C8B3">
            <w:pPr>
              <w:rPr>
                <w:rFonts w:hint="eastAsia" w:ascii="宋体" w:hAnsi="宋体" w:eastAsia="宋体"/>
                <w:bCs/>
                <w:szCs w:val="21"/>
              </w:rPr>
            </w:pPr>
            <w:r>
              <w:rPr>
                <w:rFonts w:hint="eastAsia" w:ascii="宋体" w:hAnsi="宋体" w:eastAsia="宋体"/>
                <w:bCs/>
                <w:szCs w:val="21"/>
              </w:rPr>
              <w:t>序号</w:t>
            </w:r>
          </w:p>
        </w:tc>
        <w:tc>
          <w:tcPr>
            <w:tcW w:w="1129" w:type="dxa"/>
            <w:tcBorders>
              <w:top w:val="single" w:color="auto" w:sz="4" w:space="0"/>
              <w:left w:val="single" w:color="auto" w:sz="4" w:space="0"/>
              <w:bottom w:val="single" w:color="auto" w:sz="4" w:space="0"/>
              <w:right w:val="single" w:color="auto" w:sz="4" w:space="0"/>
            </w:tcBorders>
          </w:tcPr>
          <w:p w14:paraId="1CBD0323">
            <w:pPr>
              <w:rPr>
                <w:rFonts w:hint="eastAsia" w:ascii="宋体" w:hAnsi="宋体" w:eastAsia="宋体"/>
                <w:bCs/>
                <w:szCs w:val="21"/>
              </w:rPr>
            </w:pPr>
            <w:r>
              <w:rPr>
                <w:rFonts w:hint="eastAsia" w:ascii="宋体" w:hAnsi="宋体" w:eastAsia="宋体"/>
                <w:bCs/>
                <w:szCs w:val="21"/>
              </w:rPr>
              <w:t>评价指标</w:t>
            </w:r>
          </w:p>
        </w:tc>
        <w:tc>
          <w:tcPr>
            <w:tcW w:w="5386" w:type="dxa"/>
            <w:tcBorders>
              <w:top w:val="single" w:color="auto" w:sz="4" w:space="0"/>
              <w:left w:val="single" w:color="auto" w:sz="4" w:space="0"/>
              <w:bottom w:val="single" w:color="auto" w:sz="4" w:space="0"/>
              <w:right w:val="single" w:color="auto" w:sz="4" w:space="0"/>
            </w:tcBorders>
          </w:tcPr>
          <w:p w14:paraId="1E50141A">
            <w:pPr>
              <w:jc w:val="center"/>
              <w:rPr>
                <w:rFonts w:hint="eastAsia" w:ascii="宋体" w:hAnsi="宋体" w:eastAsia="宋体"/>
                <w:bCs/>
                <w:szCs w:val="21"/>
              </w:rPr>
            </w:pPr>
            <w:r>
              <w:rPr>
                <w:rFonts w:hint="eastAsia" w:ascii="宋体" w:hAnsi="宋体" w:eastAsia="宋体"/>
                <w:bCs/>
                <w:szCs w:val="21"/>
              </w:rPr>
              <w:t>标准要求</w:t>
            </w:r>
          </w:p>
        </w:tc>
        <w:tc>
          <w:tcPr>
            <w:tcW w:w="1701" w:type="dxa"/>
            <w:gridSpan w:val="2"/>
            <w:tcBorders>
              <w:top w:val="single" w:color="auto" w:sz="4" w:space="0"/>
              <w:left w:val="single" w:color="auto" w:sz="4" w:space="0"/>
              <w:bottom w:val="single" w:color="auto" w:sz="4" w:space="0"/>
              <w:right w:val="single" w:color="auto" w:sz="4" w:space="0"/>
            </w:tcBorders>
          </w:tcPr>
          <w:p w14:paraId="778F8D12">
            <w:pPr>
              <w:jc w:val="center"/>
              <w:rPr>
                <w:rFonts w:hint="eastAsia" w:ascii="宋体" w:hAnsi="宋体" w:eastAsia="宋体"/>
                <w:bCs/>
                <w:szCs w:val="21"/>
              </w:rPr>
            </w:pPr>
            <w:r>
              <w:rPr>
                <w:rFonts w:hint="eastAsia" w:ascii="宋体" w:hAnsi="宋体" w:eastAsia="宋体"/>
                <w:bCs/>
                <w:szCs w:val="21"/>
              </w:rPr>
              <w:t>评价结果</w:t>
            </w:r>
          </w:p>
        </w:tc>
      </w:tr>
      <w:tr w14:paraId="7172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15" w:type="dxa"/>
            <w:vMerge w:val="restart"/>
            <w:tcBorders>
              <w:top w:val="nil"/>
              <w:left w:val="single" w:color="auto" w:sz="4" w:space="0"/>
              <w:bottom w:val="single" w:color="auto" w:sz="4" w:space="0"/>
              <w:right w:val="single" w:color="auto" w:sz="4" w:space="0"/>
            </w:tcBorders>
            <w:vAlign w:val="center"/>
          </w:tcPr>
          <w:p w14:paraId="02B348BF">
            <w:pPr>
              <w:jc w:val="center"/>
              <w:rPr>
                <w:rFonts w:hint="eastAsia" w:ascii="宋体" w:hAnsi="宋体" w:eastAsia="宋体"/>
                <w:bCs/>
                <w:szCs w:val="21"/>
              </w:rPr>
            </w:pPr>
            <w:r>
              <w:rPr>
                <w:rFonts w:hint="eastAsia" w:ascii="宋体" w:hAnsi="宋体" w:eastAsia="宋体"/>
                <w:bCs/>
                <w:szCs w:val="21"/>
              </w:rPr>
              <w:t>1</w:t>
            </w:r>
          </w:p>
        </w:tc>
        <w:tc>
          <w:tcPr>
            <w:tcW w:w="1129" w:type="dxa"/>
            <w:vMerge w:val="restart"/>
            <w:tcBorders>
              <w:top w:val="nil"/>
              <w:left w:val="single" w:color="auto" w:sz="4" w:space="0"/>
              <w:right w:val="single" w:color="auto" w:sz="4" w:space="0"/>
            </w:tcBorders>
            <w:vAlign w:val="center"/>
          </w:tcPr>
          <w:p w14:paraId="058F5123">
            <w:pPr>
              <w:rPr>
                <w:rFonts w:hint="eastAsia" w:ascii="宋体" w:hAnsi="宋体" w:eastAsia="宋体"/>
                <w:bCs/>
                <w:szCs w:val="21"/>
              </w:rPr>
            </w:pPr>
            <w:r>
              <w:rPr>
                <w:rFonts w:hint="eastAsia" w:ascii="宋体" w:hAnsi="宋体" w:eastAsia="宋体"/>
                <w:bCs/>
                <w:szCs w:val="21"/>
              </w:rPr>
              <w:t>控制项</w:t>
            </w: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450D8324">
            <w:pPr>
              <w:rPr>
                <w:rFonts w:hint="eastAsia" w:ascii="宋体" w:hAnsi="宋体" w:eastAsia="宋体"/>
                <w:bCs/>
                <w:szCs w:val="21"/>
              </w:rPr>
            </w:pPr>
            <w:r>
              <w:rPr>
                <w:rFonts w:hint="eastAsia" w:ascii="宋体" w:hAnsi="宋体" w:eastAsia="宋体"/>
                <w:bCs/>
                <w:szCs w:val="21"/>
              </w:rPr>
              <w:t>危大工程应编制专项施工方案，专项施工方案不</w:t>
            </w:r>
            <w:r>
              <w:rPr>
                <w:rFonts w:hint="eastAsia" w:ascii="宋体" w:hAnsi="宋体" w:eastAsia="宋体"/>
                <w:bCs/>
                <w:szCs w:val="21"/>
                <w:lang w:val="en-US" w:eastAsia="zh-CN"/>
              </w:rPr>
              <w:t>应</w:t>
            </w:r>
            <w:r>
              <w:rPr>
                <w:rFonts w:hint="eastAsia" w:ascii="宋体" w:hAnsi="宋体" w:eastAsia="宋体"/>
                <w:bCs/>
                <w:szCs w:val="21"/>
              </w:rPr>
              <w:t>存在严重缺陷；超过一定规模应组织专家论证</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A86FA2">
            <w:pPr>
              <w:rPr>
                <w:rFonts w:hint="eastAsia" w:ascii="宋体" w:hAnsi="宋体" w:eastAsia="宋体"/>
                <w:bCs/>
                <w:szCs w:val="21"/>
              </w:rPr>
            </w:pPr>
            <w:r>
              <w:rPr>
                <w:rFonts w:hint="eastAsia" w:ascii="宋体" w:hAnsi="宋体" w:eastAsia="宋体"/>
                <w:bCs/>
                <w:szCs w:val="21"/>
              </w:rPr>
              <w:t>符合□不符合</w:t>
            </w:r>
            <w:r>
              <w:rPr>
                <w:rFonts w:hint="eastAsia" w:ascii="宋体" w:hAnsi="宋体" w:eastAsia="宋体"/>
                <w:bCs/>
                <w:szCs w:val="21"/>
              </w:rPr>
              <w:sym w:font="Wingdings 2" w:char="00A3"/>
            </w:r>
          </w:p>
        </w:tc>
      </w:tr>
      <w:tr w14:paraId="0D31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5" w:type="dxa"/>
            <w:vMerge w:val="continue"/>
            <w:tcBorders>
              <w:left w:val="single" w:color="auto" w:sz="4" w:space="0"/>
              <w:right w:val="single" w:color="auto" w:sz="4" w:space="0"/>
            </w:tcBorders>
            <w:vAlign w:val="center"/>
          </w:tcPr>
          <w:p w14:paraId="139CC23D">
            <w:pPr>
              <w:jc w:val="cente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14D4050F">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7A1CBA40">
            <w:pPr>
              <w:rPr>
                <w:rFonts w:hint="eastAsia" w:ascii="宋体" w:hAnsi="宋体" w:eastAsia="宋体"/>
                <w:bCs/>
                <w:szCs w:val="21"/>
              </w:rPr>
            </w:pPr>
            <w:r>
              <w:rPr>
                <w:rFonts w:hint="eastAsia" w:ascii="宋体" w:hAnsi="宋体" w:eastAsia="宋体"/>
                <w:bCs/>
                <w:szCs w:val="21"/>
              </w:rPr>
              <w:t>危大工程施工完成后应验收合格后才能进行下一道工序</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959A5">
            <w:pPr>
              <w:rPr>
                <w:rFonts w:hint="eastAsia" w:ascii="宋体" w:hAnsi="宋体" w:eastAsia="宋体"/>
                <w:bCs/>
                <w:szCs w:val="21"/>
              </w:rPr>
            </w:pPr>
            <w:r>
              <w:rPr>
                <w:rFonts w:hint="eastAsia" w:ascii="宋体" w:hAnsi="宋体" w:eastAsia="宋体"/>
                <w:bCs/>
                <w:szCs w:val="21"/>
              </w:rPr>
              <w:t>符合□不符合</w:t>
            </w:r>
            <w:r>
              <w:rPr>
                <w:rFonts w:hint="eastAsia" w:ascii="宋体" w:hAnsi="宋体" w:eastAsia="宋体"/>
                <w:bCs/>
                <w:szCs w:val="21"/>
              </w:rPr>
              <w:sym w:font="Wingdings 2" w:char="00A3"/>
            </w:r>
          </w:p>
        </w:tc>
      </w:tr>
      <w:tr w14:paraId="7349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15" w:type="dxa"/>
            <w:vMerge w:val="continue"/>
            <w:tcBorders>
              <w:left w:val="single" w:color="auto" w:sz="4" w:space="0"/>
              <w:right w:val="single" w:color="auto" w:sz="4" w:space="0"/>
            </w:tcBorders>
            <w:vAlign w:val="center"/>
          </w:tcPr>
          <w:p w14:paraId="6C169452">
            <w:pPr>
              <w:jc w:val="cente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631200EC">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6DFB5435">
            <w:pPr>
              <w:rPr>
                <w:rFonts w:hint="eastAsia" w:ascii="宋体" w:hAnsi="宋体" w:eastAsia="宋体"/>
                <w:bCs/>
                <w:szCs w:val="21"/>
              </w:rPr>
            </w:pPr>
            <w:r>
              <w:rPr>
                <w:rFonts w:hint="eastAsia" w:ascii="宋体" w:hAnsi="宋体" w:eastAsia="宋体"/>
                <w:bCs/>
                <w:szCs w:val="21"/>
              </w:rPr>
              <w:t>现场使用的安全帽、五点式安全带、安全网、梯子等应符合现行国家相关标准的要求。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8F04E1">
            <w:pPr>
              <w:rPr>
                <w:rFonts w:hint="eastAsia" w:ascii="宋体" w:hAnsi="宋体" w:eastAsia="宋体"/>
                <w:bCs/>
                <w:szCs w:val="21"/>
              </w:rPr>
            </w:pPr>
            <w:r>
              <w:rPr>
                <w:rFonts w:hint="eastAsia" w:ascii="宋体" w:hAnsi="宋体" w:eastAsia="宋体"/>
                <w:bCs/>
                <w:szCs w:val="21"/>
              </w:rPr>
              <w:t>符合□不符合</w:t>
            </w:r>
            <w:r>
              <w:rPr>
                <w:rFonts w:hint="eastAsia" w:ascii="宋体" w:hAnsi="宋体" w:eastAsia="宋体"/>
                <w:bCs/>
                <w:szCs w:val="21"/>
              </w:rPr>
              <w:sym w:font="Wingdings 2" w:char="00A3"/>
            </w:r>
          </w:p>
        </w:tc>
      </w:tr>
      <w:tr w14:paraId="3CE7D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15" w:type="dxa"/>
            <w:vMerge w:val="continue"/>
            <w:tcBorders>
              <w:top w:val="nil"/>
              <w:left w:val="single" w:color="auto" w:sz="4" w:space="0"/>
              <w:bottom w:val="single" w:color="auto" w:sz="4" w:space="0"/>
              <w:right w:val="single" w:color="auto" w:sz="4" w:space="0"/>
            </w:tcBorders>
            <w:vAlign w:val="center"/>
          </w:tcPr>
          <w:p w14:paraId="691837A6">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3FD2A3D5">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60907421">
            <w:pPr>
              <w:rPr>
                <w:rFonts w:hint="eastAsia" w:ascii="宋体" w:hAnsi="宋体" w:eastAsia="宋体"/>
                <w:bCs/>
                <w:szCs w:val="21"/>
              </w:rPr>
            </w:pPr>
            <w:r>
              <w:rPr>
                <w:rFonts w:hint="eastAsia" w:ascii="宋体" w:hAnsi="宋体" w:eastAsia="宋体"/>
                <w:bCs/>
                <w:szCs w:val="21"/>
              </w:rPr>
              <w:t>临边、洞口防护设施的强度、刚度、稳定性应满足设计及规范要求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9528DF">
            <w:pPr>
              <w:rPr>
                <w:rFonts w:hint="eastAsia" w:ascii="宋体" w:hAnsi="宋体" w:eastAsia="宋体"/>
                <w:bCs/>
                <w:szCs w:val="21"/>
              </w:rPr>
            </w:pPr>
            <w:r>
              <w:rPr>
                <w:rFonts w:hint="eastAsia" w:ascii="宋体" w:hAnsi="宋体" w:eastAsia="宋体"/>
                <w:bCs/>
                <w:szCs w:val="21"/>
              </w:rPr>
              <w:t>符合□不符合□</w:t>
            </w:r>
          </w:p>
        </w:tc>
      </w:tr>
      <w:tr w14:paraId="007F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71016E6A">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4D3117B2">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157208EB">
            <w:pPr>
              <w:rPr>
                <w:rFonts w:hint="eastAsia" w:ascii="宋体" w:hAnsi="宋体" w:eastAsia="宋体"/>
                <w:bCs/>
                <w:szCs w:val="21"/>
              </w:rPr>
            </w:pPr>
            <w:r>
              <w:rPr>
                <w:rFonts w:hint="eastAsia" w:ascii="宋体" w:hAnsi="宋体" w:eastAsia="宋体"/>
                <w:bCs/>
                <w:szCs w:val="21"/>
              </w:rPr>
              <w:t>工作面边沿应设置临边防护</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E7E1241">
            <w:pPr>
              <w:rPr>
                <w:rFonts w:hint="eastAsia" w:ascii="宋体" w:hAnsi="宋体" w:eastAsia="宋体"/>
                <w:bCs/>
                <w:szCs w:val="21"/>
              </w:rPr>
            </w:pPr>
            <w:r>
              <w:rPr>
                <w:rFonts w:hint="eastAsia" w:ascii="宋体" w:hAnsi="宋体" w:eastAsia="宋体"/>
                <w:bCs/>
                <w:szCs w:val="21"/>
              </w:rPr>
              <w:t>符合□不符合□</w:t>
            </w:r>
          </w:p>
        </w:tc>
      </w:tr>
      <w:tr w14:paraId="78DB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63131B57">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130E369">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5A9E92C0">
            <w:pPr>
              <w:rPr>
                <w:rFonts w:hint="eastAsia" w:ascii="宋体" w:hAnsi="宋体" w:eastAsia="宋体"/>
                <w:bCs/>
                <w:szCs w:val="21"/>
              </w:rPr>
            </w:pPr>
            <w:r>
              <w:rPr>
                <w:rFonts w:hint="eastAsia" w:ascii="宋体" w:hAnsi="宋体" w:eastAsia="宋体"/>
                <w:bCs/>
                <w:szCs w:val="21"/>
              </w:rPr>
              <w:t>脚手架与结构外表面之间贯通应采取水平防护措施，或电梯井道内贯通应采取水平防护措施且电梯井口设置防护门。</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B40B17">
            <w:pPr>
              <w:rPr>
                <w:rFonts w:hint="eastAsia" w:ascii="宋体" w:hAnsi="宋体" w:eastAsia="宋体"/>
                <w:bCs/>
                <w:szCs w:val="21"/>
              </w:rPr>
            </w:pPr>
            <w:r>
              <w:rPr>
                <w:rFonts w:hint="eastAsia" w:ascii="宋体" w:hAnsi="宋体" w:eastAsia="宋体"/>
                <w:bCs/>
                <w:szCs w:val="21"/>
              </w:rPr>
              <w:t>符合□不符合□</w:t>
            </w:r>
          </w:p>
        </w:tc>
      </w:tr>
      <w:tr w14:paraId="79FA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715" w:type="dxa"/>
            <w:vMerge w:val="continue"/>
            <w:tcBorders>
              <w:top w:val="nil"/>
              <w:left w:val="single" w:color="auto" w:sz="4" w:space="0"/>
              <w:bottom w:val="single" w:color="auto" w:sz="4" w:space="0"/>
              <w:right w:val="single" w:color="auto" w:sz="4" w:space="0"/>
            </w:tcBorders>
            <w:vAlign w:val="center"/>
          </w:tcPr>
          <w:p w14:paraId="2B55577F">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01527AD1">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07266A11">
            <w:pPr>
              <w:rPr>
                <w:rFonts w:hint="eastAsia" w:ascii="宋体" w:hAnsi="宋体" w:eastAsia="宋体"/>
                <w:bCs/>
                <w:szCs w:val="21"/>
              </w:rPr>
            </w:pPr>
            <w:r>
              <w:rPr>
                <w:rFonts w:hint="eastAsia" w:ascii="宋体" w:hAnsi="宋体" w:eastAsia="宋体"/>
                <w:bCs/>
                <w:szCs w:val="21"/>
              </w:rPr>
              <w:t>攀登作业设施和用具应牢固可靠，梯子的材质或制作质量应符合规范要求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B0DE6F">
            <w:pPr>
              <w:rPr>
                <w:rFonts w:hint="eastAsia" w:ascii="宋体" w:hAnsi="宋体" w:eastAsia="宋体"/>
                <w:bCs/>
                <w:szCs w:val="21"/>
              </w:rPr>
            </w:pPr>
            <w:r>
              <w:rPr>
                <w:rFonts w:hint="eastAsia" w:ascii="宋体" w:hAnsi="宋体" w:eastAsia="宋体"/>
                <w:bCs/>
                <w:szCs w:val="21"/>
              </w:rPr>
              <w:t>符合□不符合□</w:t>
            </w:r>
          </w:p>
        </w:tc>
      </w:tr>
      <w:tr w14:paraId="1033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715" w:type="dxa"/>
            <w:vMerge w:val="continue"/>
            <w:tcBorders>
              <w:top w:val="nil"/>
              <w:left w:val="single" w:color="auto" w:sz="4" w:space="0"/>
              <w:bottom w:val="single" w:color="auto" w:sz="4" w:space="0"/>
              <w:right w:val="single" w:color="auto" w:sz="4" w:space="0"/>
            </w:tcBorders>
            <w:vAlign w:val="center"/>
          </w:tcPr>
          <w:p w14:paraId="451901E0">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245685D0">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3E02F237">
            <w:pPr>
              <w:rPr>
                <w:rFonts w:hint="eastAsia" w:ascii="宋体" w:hAnsi="宋体" w:eastAsia="宋体"/>
                <w:bCs/>
                <w:szCs w:val="21"/>
              </w:rPr>
            </w:pPr>
            <w:r>
              <w:rPr>
                <w:rFonts w:hint="eastAsia" w:ascii="宋体" w:hAnsi="宋体" w:eastAsia="宋体"/>
                <w:bCs/>
                <w:szCs w:val="21"/>
              </w:rPr>
              <w:t>操作平台的组装应符合设计和规范要求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077605B">
            <w:pPr>
              <w:rPr>
                <w:rFonts w:hint="eastAsia" w:ascii="宋体" w:hAnsi="宋体" w:eastAsia="宋体"/>
                <w:bCs/>
                <w:szCs w:val="21"/>
              </w:rPr>
            </w:pPr>
            <w:r>
              <w:rPr>
                <w:rFonts w:hint="eastAsia" w:ascii="宋体" w:hAnsi="宋体" w:eastAsia="宋体"/>
                <w:bCs/>
                <w:szCs w:val="21"/>
              </w:rPr>
              <w:t>符合□不符合□</w:t>
            </w:r>
          </w:p>
        </w:tc>
      </w:tr>
      <w:tr w14:paraId="1BA7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7DD25DEF">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19C635E9">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550E52A8">
            <w:pPr>
              <w:rPr>
                <w:rFonts w:hint="eastAsia" w:ascii="宋体" w:hAnsi="宋体" w:eastAsia="宋体"/>
                <w:bCs/>
                <w:szCs w:val="21"/>
              </w:rPr>
            </w:pPr>
            <w:r>
              <w:rPr>
                <w:rFonts w:hint="eastAsia" w:ascii="宋体" w:hAnsi="宋体" w:eastAsia="宋体"/>
                <w:bCs/>
                <w:szCs w:val="21"/>
              </w:rPr>
              <w:t>操作平台四周按规定设置防护栏杆及登高扶梯</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50FB0D9">
            <w:pPr>
              <w:rPr>
                <w:rFonts w:hint="eastAsia" w:ascii="宋体" w:hAnsi="宋体" w:eastAsia="宋体"/>
                <w:bCs/>
                <w:szCs w:val="21"/>
              </w:rPr>
            </w:pPr>
            <w:r>
              <w:rPr>
                <w:rFonts w:hint="eastAsia" w:ascii="宋体" w:hAnsi="宋体" w:eastAsia="宋体"/>
                <w:bCs/>
                <w:szCs w:val="21"/>
              </w:rPr>
              <w:t>符合□不符合□</w:t>
            </w:r>
          </w:p>
        </w:tc>
      </w:tr>
      <w:tr w14:paraId="5116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50E2D178">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EF5341E">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6FCC41BE">
            <w:pPr>
              <w:rPr>
                <w:rFonts w:hint="eastAsia" w:ascii="宋体" w:hAnsi="宋体" w:eastAsia="宋体"/>
                <w:bCs/>
                <w:szCs w:val="21"/>
              </w:rPr>
            </w:pPr>
            <w:r>
              <w:rPr>
                <w:rFonts w:hint="eastAsia" w:ascii="宋体" w:hAnsi="宋体" w:eastAsia="宋体"/>
                <w:bCs/>
                <w:szCs w:val="21"/>
              </w:rPr>
              <w:t>操作平台材质应符合规范要求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B4052B9">
            <w:pPr>
              <w:rPr>
                <w:rFonts w:hint="eastAsia" w:ascii="宋体" w:hAnsi="宋体" w:eastAsia="宋体"/>
                <w:bCs/>
                <w:szCs w:val="21"/>
              </w:rPr>
            </w:pPr>
            <w:r>
              <w:rPr>
                <w:rFonts w:hint="eastAsia" w:ascii="宋体" w:hAnsi="宋体" w:eastAsia="宋体"/>
                <w:bCs/>
                <w:szCs w:val="21"/>
              </w:rPr>
              <w:t>符合□不符合□</w:t>
            </w:r>
          </w:p>
        </w:tc>
      </w:tr>
      <w:tr w14:paraId="216A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559694D0">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2B47BD4E">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5E1FD40E">
            <w:pPr>
              <w:rPr>
                <w:rFonts w:hint="eastAsia" w:ascii="宋体" w:hAnsi="宋体" w:eastAsia="宋体"/>
                <w:bCs/>
                <w:szCs w:val="21"/>
              </w:rPr>
            </w:pPr>
            <w:r>
              <w:rPr>
                <w:rFonts w:hint="eastAsia" w:ascii="宋体" w:hAnsi="宋体" w:eastAsia="宋体"/>
                <w:bCs/>
                <w:szCs w:val="21"/>
              </w:rPr>
              <w:t>悬挑式卸料平台的搁置点、拉结点、支撑点应设置在稳定的主体结构上，且做可靠连接。</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3EECD6">
            <w:pPr>
              <w:rPr>
                <w:rFonts w:hint="eastAsia" w:ascii="宋体" w:hAnsi="宋体" w:eastAsia="宋体"/>
                <w:bCs/>
                <w:szCs w:val="21"/>
              </w:rPr>
            </w:pPr>
            <w:r>
              <w:rPr>
                <w:rFonts w:hint="eastAsia" w:ascii="宋体" w:hAnsi="宋体" w:eastAsia="宋体"/>
                <w:bCs/>
                <w:szCs w:val="21"/>
              </w:rPr>
              <w:t>符合□不符合□</w:t>
            </w:r>
          </w:p>
        </w:tc>
      </w:tr>
      <w:tr w14:paraId="6010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69E7A7EB">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68A1A897">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732FD718">
            <w:pPr>
              <w:rPr>
                <w:rFonts w:hint="eastAsia" w:ascii="宋体" w:hAnsi="宋体" w:eastAsia="宋体"/>
                <w:bCs/>
                <w:szCs w:val="21"/>
              </w:rPr>
            </w:pPr>
            <w:r>
              <w:rPr>
                <w:rFonts w:hint="eastAsia" w:ascii="宋体" w:hAnsi="宋体" w:eastAsia="宋体"/>
                <w:bCs/>
                <w:szCs w:val="21"/>
              </w:rPr>
              <w:t>平台两侧各设置两道斜拉杆或钢丝绳</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112A62">
            <w:pPr>
              <w:rPr>
                <w:rFonts w:hint="eastAsia" w:ascii="宋体" w:hAnsi="宋体" w:eastAsia="宋体"/>
                <w:bCs/>
                <w:szCs w:val="21"/>
              </w:rPr>
            </w:pPr>
            <w:r>
              <w:rPr>
                <w:rFonts w:hint="eastAsia" w:ascii="宋体" w:hAnsi="宋体" w:eastAsia="宋体"/>
                <w:bCs/>
                <w:szCs w:val="21"/>
              </w:rPr>
              <w:t>符合□不符合□</w:t>
            </w:r>
          </w:p>
        </w:tc>
      </w:tr>
      <w:tr w14:paraId="065C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3DB2801F">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4FC21EAF">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69FD5AD6">
            <w:pPr>
              <w:rPr>
                <w:rFonts w:hint="eastAsia" w:ascii="宋体" w:hAnsi="宋体" w:eastAsia="宋体"/>
                <w:bCs/>
                <w:szCs w:val="21"/>
              </w:rPr>
            </w:pPr>
            <w:r>
              <w:rPr>
                <w:rFonts w:hint="eastAsia" w:ascii="宋体" w:hAnsi="宋体" w:eastAsia="宋体"/>
                <w:bCs/>
                <w:szCs w:val="21"/>
              </w:rPr>
              <w:t>钢结构、网架安装用支撑结构基础承载力和变形应满足设计要求，钢结构、网架安装用支撑结构不应超过设计承载力，应按设计要求设置防倾覆装置。</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394B9AF">
            <w:pPr>
              <w:rPr>
                <w:rFonts w:hint="eastAsia" w:ascii="宋体" w:hAnsi="宋体" w:eastAsia="宋体"/>
                <w:bCs/>
                <w:szCs w:val="21"/>
              </w:rPr>
            </w:pPr>
            <w:r>
              <w:rPr>
                <w:rFonts w:hint="eastAsia" w:ascii="宋体" w:hAnsi="宋体" w:eastAsia="宋体"/>
                <w:bCs/>
                <w:szCs w:val="21"/>
              </w:rPr>
              <w:t>符合□不符合□</w:t>
            </w:r>
          </w:p>
        </w:tc>
      </w:tr>
      <w:tr w14:paraId="4465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257B57DC">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64EB41B">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2C63EFF8">
            <w:pPr>
              <w:rPr>
                <w:rFonts w:hint="eastAsia" w:ascii="宋体" w:hAnsi="宋体" w:eastAsia="宋体"/>
                <w:bCs/>
                <w:szCs w:val="21"/>
              </w:rPr>
            </w:pPr>
            <w:r>
              <w:rPr>
                <w:rFonts w:hint="eastAsia" w:ascii="宋体" w:hAnsi="宋体" w:eastAsia="宋体"/>
                <w:bCs/>
                <w:szCs w:val="21"/>
              </w:rPr>
              <w:t>单榀钢桁架（屋架）等预制构件安装时应采取防失稳措施。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FC76650">
            <w:pPr>
              <w:rPr>
                <w:rFonts w:hint="eastAsia" w:ascii="宋体" w:hAnsi="宋体" w:eastAsia="宋体"/>
                <w:bCs/>
                <w:szCs w:val="21"/>
              </w:rPr>
            </w:pPr>
            <w:r>
              <w:rPr>
                <w:rFonts w:hint="eastAsia" w:ascii="宋体" w:hAnsi="宋体" w:eastAsia="宋体"/>
                <w:bCs/>
                <w:szCs w:val="21"/>
              </w:rPr>
              <w:t>符合□不符合□</w:t>
            </w:r>
          </w:p>
        </w:tc>
      </w:tr>
      <w:tr w14:paraId="51A9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restart"/>
            <w:tcBorders>
              <w:top w:val="nil"/>
              <w:left w:val="single" w:color="auto" w:sz="4" w:space="0"/>
              <w:bottom w:val="single" w:color="auto" w:sz="4" w:space="0"/>
              <w:right w:val="single" w:color="auto" w:sz="4" w:space="0"/>
            </w:tcBorders>
            <w:vAlign w:val="center"/>
          </w:tcPr>
          <w:p w14:paraId="5A8FA9BE">
            <w:pPr>
              <w:rPr>
                <w:rFonts w:hint="eastAsia" w:ascii="宋体" w:hAnsi="宋体" w:eastAsia="宋体"/>
                <w:bCs/>
                <w:szCs w:val="21"/>
              </w:rPr>
            </w:pPr>
            <w:r>
              <w:rPr>
                <w:rFonts w:hint="eastAsia" w:ascii="宋体" w:hAnsi="宋体" w:eastAsia="宋体"/>
                <w:bCs/>
                <w:szCs w:val="21"/>
              </w:rPr>
              <w:t>序号</w:t>
            </w:r>
          </w:p>
        </w:tc>
        <w:tc>
          <w:tcPr>
            <w:tcW w:w="1129" w:type="dxa"/>
            <w:vMerge w:val="restart"/>
            <w:tcBorders>
              <w:top w:val="nil"/>
              <w:left w:val="single" w:color="auto" w:sz="4" w:space="0"/>
              <w:bottom w:val="single" w:color="auto" w:sz="4" w:space="0"/>
              <w:right w:val="single" w:color="auto" w:sz="4" w:space="0"/>
            </w:tcBorders>
            <w:vAlign w:val="center"/>
          </w:tcPr>
          <w:p w14:paraId="4372281B">
            <w:pPr>
              <w:rPr>
                <w:rFonts w:hint="eastAsia" w:ascii="宋体" w:hAnsi="宋体" w:eastAsia="宋体"/>
                <w:bCs/>
                <w:szCs w:val="21"/>
              </w:rPr>
            </w:pPr>
            <w:r>
              <w:rPr>
                <w:rFonts w:hint="eastAsia" w:ascii="宋体" w:hAnsi="宋体" w:eastAsia="宋体"/>
                <w:bCs/>
                <w:szCs w:val="21"/>
              </w:rPr>
              <w:t>评分项目</w:t>
            </w:r>
          </w:p>
        </w:tc>
        <w:tc>
          <w:tcPr>
            <w:tcW w:w="5386" w:type="dxa"/>
            <w:vMerge w:val="restart"/>
            <w:tcBorders>
              <w:top w:val="nil"/>
              <w:left w:val="single" w:color="auto" w:sz="4" w:space="0"/>
              <w:bottom w:val="single" w:color="auto" w:sz="4" w:space="0"/>
              <w:right w:val="single" w:color="auto" w:sz="4" w:space="0"/>
            </w:tcBorders>
            <w:vAlign w:val="center"/>
          </w:tcPr>
          <w:p w14:paraId="419FFB50">
            <w:pPr>
              <w:rPr>
                <w:rFonts w:hint="eastAsia" w:ascii="宋体" w:hAnsi="宋体" w:eastAsia="宋体"/>
                <w:bCs/>
                <w:szCs w:val="21"/>
              </w:rPr>
            </w:pPr>
            <w:r>
              <w:rPr>
                <w:rFonts w:hint="eastAsia" w:ascii="宋体" w:hAnsi="宋体" w:eastAsia="宋体"/>
                <w:bCs/>
                <w:szCs w:val="21"/>
              </w:rPr>
              <w:t>扣分标准</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6422272">
            <w:pPr>
              <w:jc w:val="center"/>
              <w:rPr>
                <w:rFonts w:hint="eastAsia" w:ascii="宋体" w:hAnsi="宋体" w:eastAsia="宋体"/>
                <w:bCs/>
                <w:szCs w:val="21"/>
              </w:rPr>
            </w:pPr>
            <w:r>
              <w:rPr>
                <w:rFonts w:hint="eastAsia" w:ascii="宋体" w:hAnsi="宋体" w:eastAsia="宋体"/>
                <w:bCs/>
                <w:szCs w:val="21"/>
              </w:rPr>
              <w:t>评价得分</w:t>
            </w:r>
          </w:p>
        </w:tc>
      </w:tr>
      <w:tr w14:paraId="7EB6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5" w:type="dxa"/>
            <w:vMerge w:val="continue"/>
            <w:tcBorders>
              <w:top w:val="nil"/>
              <w:left w:val="single" w:color="auto" w:sz="4" w:space="0"/>
              <w:bottom w:val="single" w:color="auto" w:sz="4" w:space="0"/>
              <w:right w:val="single" w:color="auto" w:sz="4" w:space="0"/>
            </w:tcBorders>
            <w:vAlign w:val="center"/>
          </w:tcPr>
          <w:p w14:paraId="3EB6D196">
            <w:pPr>
              <w:rPr>
                <w:rFonts w:hint="eastAsia" w:ascii="宋体" w:hAnsi="宋体" w:eastAsia="宋体"/>
                <w:bCs/>
                <w:szCs w:val="21"/>
              </w:rPr>
            </w:pPr>
          </w:p>
        </w:tc>
        <w:tc>
          <w:tcPr>
            <w:tcW w:w="1129" w:type="dxa"/>
            <w:vMerge w:val="continue"/>
            <w:tcBorders>
              <w:top w:val="nil"/>
              <w:left w:val="single" w:color="auto" w:sz="4" w:space="0"/>
              <w:bottom w:val="single" w:color="auto" w:sz="4" w:space="0"/>
              <w:right w:val="single" w:color="auto" w:sz="4" w:space="0"/>
            </w:tcBorders>
            <w:vAlign w:val="center"/>
          </w:tcPr>
          <w:p w14:paraId="1AB12777">
            <w:pPr>
              <w:rPr>
                <w:rFonts w:hint="eastAsia" w:ascii="宋体" w:hAnsi="宋体" w:eastAsia="宋体"/>
                <w:bCs/>
                <w:szCs w:val="21"/>
              </w:rPr>
            </w:pPr>
          </w:p>
        </w:tc>
        <w:tc>
          <w:tcPr>
            <w:tcW w:w="5386" w:type="dxa"/>
            <w:vMerge w:val="continue"/>
            <w:tcBorders>
              <w:top w:val="nil"/>
              <w:left w:val="single" w:color="auto" w:sz="4" w:space="0"/>
              <w:bottom w:val="single" w:color="auto" w:sz="4" w:space="0"/>
              <w:right w:val="single" w:color="auto" w:sz="4" w:space="0"/>
            </w:tcBorders>
            <w:vAlign w:val="center"/>
          </w:tcPr>
          <w:p w14:paraId="003EDB68">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18AEA4C2">
            <w:pPr>
              <w:rPr>
                <w:rFonts w:hint="eastAsia" w:ascii="宋体" w:hAnsi="宋体" w:eastAsia="宋体"/>
                <w:bCs/>
                <w:szCs w:val="21"/>
              </w:rPr>
            </w:pPr>
            <w:r>
              <w:rPr>
                <w:rFonts w:hint="eastAsia" w:ascii="宋体" w:hAnsi="宋体" w:eastAsia="宋体"/>
                <w:bCs/>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14:paraId="1F8D3C76">
            <w:pPr>
              <w:rPr>
                <w:rFonts w:hint="eastAsia" w:ascii="宋体" w:hAnsi="宋体" w:eastAsia="宋体"/>
                <w:bCs/>
                <w:szCs w:val="21"/>
              </w:rPr>
            </w:pPr>
            <w:r>
              <w:rPr>
                <w:rFonts w:hint="eastAsia" w:ascii="宋体" w:hAnsi="宋体" w:eastAsia="宋体"/>
                <w:bCs/>
                <w:szCs w:val="21"/>
              </w:rPr>
              <w:t>实得分</w:t>
            </w:r>
          </w:p>
        </w:tc>
      </w:tr>
      <w:tr w14:paraId="27D7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15" w:type="dxa"/>
            <w:tcBorders>
              <w:top w:val="single" w:color="auto" w:sz="4" w:space="0"/>
              <w:left w:val="single" w:color="auto" w:sz="4" w:space="0"/>
              <w:bottom w:val="single" w:color="auto" w:sz="4" w:space="0"/>
              <w:right w:val="single" w:color="auto" w:sz="4" w:space="0"/>
            </w:tcBorders>
            <w:vAlign w:val="center"/>
          </w:tcPr>
          <w:p w14:paraId="2B79C1C6">
            <w:pPr>
              <w:rPr>
                <w:rFonts w:hint="eastAsia" w:ascii="宋体" w:hAnsi="宋体" w:eastAsia="宋体"/>
                <w:bCs/>
                <w:szCs w:val="21"/>
              </w:rPr>
            </w:pPr>
            <w:r>
              <w:rPr>
                <w:rFonts w:hint="eastAsia" w:ascii="宋体" w:hAnsi="宋体" w:eastAsia="宋体"/>
                <w:bCs/>
                <w:szCs w:val="21"/>
              </w:rPr>
              <w:t>1</w:t>
            </w:r>
          </w:p>
        </w:tc>
        <w:tc>
          <w:tcPr>
            <w:tcW w:w="1129" w:type="dxa"/>
            <w:tcBorders>
              <w:top w:val="single" w:color="auto" w:sz="4" w:space="0"/>
              <w:left w:val="single" w:color="auto" w:sz="4" w:space="0"/>
              <w:bottom w:val="single" w:color="auto" w:sz="4" w:space="0"/>
              <w:right w:val="single" w:color="auto" w:sz="4" w:space="0"/>
            </w:tcBorders>
            <w:vAlign w:val="center"/>
          </w:tcPr>
          <w:p w14:paraId="07A45F0B">
            <w:pPr>
              <w:rPr>
                <w:rFonts w:hint="eastAsia" w:ascii="宋体" w:hAnsi="宋体" w:eastAsia="宋体"/>
                <w:bCs/>
                <w:szCs w:val="21"/>
              </w:rPr>
            </w:pPr>
            <w:r>
              <w:rPr>
                <w:rFonts w:hint="eastAsia" w:ascii="宋体" w:hAnsi="宋体" w:eastAsia="宋体"/>
                <w:bCs/>
                <w:szCs w:val="21"/>
              </w:rPr>
              <w:t>安全防护用品</w:t>
            </w:r>
          </w:p>
        </w:tc>
        <w:tc>
          <w:tcPr>
            <w:tcW w:w="5386" w:type="dxa"/>
            <w:tcBorders>
              <w:top w:val="single" w:color="auto" w:sz="4" w:space="0"/>
              <w:left w:val="single" w:color="auto" w:sz="4" w:space="0"/>
              <w:bottom w:val="single" w:color="auto" w:sz="4" w:space="0"/>
              <w:right w:val="single" w:color="auto" w:sz="4" w:space="0"/>
            </w:tcBorders>
            <w:vAlign w:val="center"/>
          </w:tcPr>
          <w:p w14:paraId="4CD9F372">
            <w:pPr>
              <w:rPr>
                <w:rFonts w:hint="eastAsia" w:ascii="宋体" w:hAnsi="宋体" w:eastAsia="宋体"/>
                <w:bCs/>
                <w:szCs w:val="21"/>
              </w:rPr>
            </w:pPr>
            <w:r>
              <w:rPr>
                <w:rFonts w:hint="eastAsia" w:ascii="宋体" w:hAnsi="宋体" w:eastAsia="宋体"/>
                <w:bCs/>
                <w:szCs w:val="21"/>
              </w:rPr>
              <w:t>作业人员未正确佩戴安全帽、安全带，每人扣2分</w:t>
            </w:r>
          </w:p>
          <w:p w14:paraId="311B8B61">
            <w:pPr>
              <w:rPr>
                <w:rFonts w:hint="eastAsia" w:ascii="宋体" w:hAnsi="宋体" w:eastAsia="宋体"/>
                <w:bCs/>
                <w:szCs w:val="21"/>
              </w:rPr>
            </w:pPr>
            <w:r>
              <w:rPr>
                <w:rFonts w:hint="eastAsia" w:ascii="宋体" w:hAnsi="宋体" w:eastAsia="宋体"/>
                <w:bCs/>
                <w:szCs w:val="21"/>
              </w:rPr>
              <w:t>安全防护用品</w:t>
            </w:r>
            <w:r>
              <w:rPr>
                <w:rFonts w:hint="eastAsia" w:ascii="宋体" w:hAnsi="宋体" w:eastAsia="宋体"/>
                <w:bCs/>
                <w:szCs w:val="21"/>
                <w:lang w:val="en-US" w:eastAsia="zh-CN"/>
              </w:rPr>
              <w:t>未经</w:t>
            </w:r>
            <w:r>
              <w:rPr>
                <w:rFonts w:hint="eastAsia" w:ascii="宋体" w:hAnsi="宋体" w:eastAsia="宋体"/>
                <w:bCs/>
                <w:szCs w:val="21"/>
              </w:rPr>
              <w:t>总包单位统一管理</w:t>
            </w:r>
            <w:r>
              <w:rPr>
                <w:rFonts w:hint="eastAsia" w:ascii="宋体" w:hAnsi="宋体" w:eastAsia="宋体"/>
                <w:bCs/>
                <w:szCs w:val="21"/>
                <w:lang w:eastAsia="zh-CN"/>
              </w:rPr>
              <w:t>，</w:t>
            </w:r>
            <w:r>
              <w:rPr>
                <w:rFonts w:hint="eastAsia" w:ascii="宋体" w:hAnsi="宋体" w:eastAsia="宋体"/>
                <w:bCs/>
                <w:szCs w:val="21"/>
              </w:rPr>
              <w:t>扣</w:t>
            </w:r>
            <w:r>
              <w:rPr>
                <w:rFonts w:hint="eastAsia" w:ascii="宋体" w:hAnsi="宋体" w:eastAsia="宋体"/>
                <w:bCs/>
                <w:szCs w:val="21"/>
                <w:lang w:val="en-US" w:eastAsia="zh-CN"/>
              </w:rPr>
              <w:t>10</w:t>
            </w:r>
            <w:r>
              <w:rPr>
                <w:rFonts w:hint="eastAsia" w:ascii="宋体" w:hAnsi="宋体" w:eastAsia="宋体"/>
                <w:bCs/>
                <w:szCs w:val="21"/>
              </w:rPr>
              <w:t>分</w:t>
            </w:r>
          </w:p>
          <w:p w14:paraId="6DEF9E4F">
            <w:pPr>
              <w:rPr>
                <w:rFonts w:hint="eastAsia" w:ascii="宋体" w:hAnsi="宋体" w:eastAsia="宋体"/>
                <w:bCs/>
                <w:szCs w:val="21"/>
              </w:rPr>
            </w:pPr>
            <w:r>
              <w:rPr>
                <w:rFonts w:hint="eastAsia" w:ascii="宋体" w:hAnsi="宋体" w:eastAsia="宋体"/>
                <w:bCs/>
                <w:szCs w:val="21"/>
              </w:rPr>
              <w:t>未建立并实施安全防护用品的采购、验收、保管、使用和报废的相关制度</w:t>
            </w:r>
            <w:r>
              <w:rPr>
                <w:rFonts w:hint="eastAsia" w:ascii="宋体" w:hAnsi="宋体" w:eastAsia="宋体"/>
                <w:bCs/>
                <w:szCs w:val="21"/>
              </w:rPr>
              <w:t>，每项扣5分</w:t>
            </w:r>
          </w:p>
        </w:tc>
        <w:tc>
          <w:tcPr>
            <w:tcW w:w="851" w:type="dxa"/>
            <w:tcBorders>
              <w:top w:val="single" w:color="auto" w:sz="4" w:space="0"/>
              <w:left w:val="single" w:color="auto" w:sz="4" w:space="0"/>
              <w:bottom w:val="single" w:color="auto" w:sz="4" w:space="0"/>
              <w:right w:val="single" w:color="auto" w:sz="4" w:space="0"/>
            </w:tcBorders>
            <w:vAlign w:val="center"/>
          </w:tcPr>
          <w:p w14:paraId="7AC9ADFC">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tcPr>
          <w:p w14:paraId="01C88AA7">
            <w:pPr>
              <w:rPr>
                <w:rFonts w:hint="eastAsia" w:ascii="宋体" w:hAnsi="宋体" w:eastAsia="宋体"/>
                <w:bCs/>
                <w:szCs w:val="21"/>
              </w:rPr>
            </w:pPr>
          </w:p>
        </w:tc>
      </w:tr>
      <w:tr w14:paraId="7F6D5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46356CC6">
            <w:pPr>
              <w:rPr>
                <w:rFonts w:hint="eastAsia" w:ascii="宋体" w:hAnsi="宋体" w:eastAsia="宋体"/>
                <w:bCs/>
                <w:szCs w:val="21"/>
              </w:rPr>
            </w:pPr>
            <w:r>
              <w:rPr>
                <w:rFonts w:hint="eastAsia" w:ascii="宋体" w:hAnsi="宋体" w:eastAsia="宋体"/>
                <w:bCs/>
                <w:szCs w:val="21"/>
              </w:rPr>
              <w:t>2</w:t>
            </w:r>
          </w:p>
        </w:tc>
        <w:tc>
          <w:tcPr>
            <w:tcW w:w="1129" w:type="dxa"/>
            <w:tcBorders>
              <w:top w:val="single" w:color="auto" w:sz="4" w:space="0"/>
              <w:left w:val="single" w:color="auto" w:sz="4" w:space="0"/>
              <w:bottom w:val="single" w:color="auto" w:sz="4" w:space="0"/>
              <w:right w:val="single" w:color="auto" w:sz="4" w:space="0"/>
            </w:tcBorders>
            <w:vAlign w:val="center"/>
          </w:tcPr>
          <w:p w14:paraId="754B2971">
            <w:pPr>
              <w:rPr>
                <w:rFonts w:hint="eastAsia" w:ascii="宋体" w:hAnsi="宋体" w:eastAsia="宋体"/>
                <w:bCs/>
                <w:szCs w:val="21"/>
              </w:rPr>
            </w:pPr>
            <w:r>
              <w:rPr>
                <w:rFonts w:hint="eastAsia" w:ascii="宋体" w:hAnsi="宋体" w:eastAsia="宋体"/>
                <w:bCs/>
                <w:szCs w:val="21"/>
              </w:rPr>
              <w:t>临边与洞口作业</w:t>
            </w:r>
          </w:p>
        </w:tc>
        <w:tc>
          <w:tcPr>
            <w:tcW w:w="5386" w:type="dxa"/>
            <w:tcBorders>
              <w:top w:val="single" w:color="auto" w:sz="4" w:space="0"/>
              <w:left w:val="single" w:color="auto" w:sz="4" w:space="0"/>
              <w:bottom w:val="single" w:color="auto" w:sz="4" w:space="0"/>
              <w:right w:val="single" w:color="auto" w:sz="4" w:space="0"/>
            </w:tcBorders>
            <w:vAlign w:val="center"/>
          </w:tcPr>
          <w:p w14:paraId="5270EF63">
            <w:pPr>
              <w:rPr>
                <w:rFonts w:hint="eastAsia" w:ascii="宋体" w:hAnsi="宋体" w:eastAsia="宋体"/>
                <w:bCs/>
                <w:szCs w:val="21"/>
              </w:rPr>
            </w:pPr>
            <w:r>
              <w:rPr>
                <w:rFonts w:hint="eastAsia" w:ascii="宋体" w:hAnsi="宋体" w:eastAsia="宋体"/>
                <w:bCs/>
                <w:szCs w:val="21"/>
              </w:rPr>
              <w:t>临边作业时，未在临空一侧设置防护栏杆，并采用密目式安全立网或工具式栏板封闭，每处扣5分</w:t>
            </w:r>
          </w:p>
          <w:p w14:paraId="5EBC1CE0">
            <w:pPr>
              <w:rPr>
                <w:rFonts w:hint="eastAsia" w:ascii="宋体" w:hAnsi="宋体" w:eastAsia="宋体"/>
                <w:bCs/>
                <w:szCs w:val="21"/>
              </w:rPr>
            </w:pPr>
            <w:r>
              <w:rPr>
                <w:rFonts w:hint="eastAsia" w:ascii="宋体" w:hAnsi="宋体" w:eastAsia="宋体"/>
                <w:bCs/>
                <w:szCs w:val="21"/>
              </w:rPr>
              <w:t>安全防护设施未采用定型化、工具化设施，每处扣2分；</w:t>
            </w:r>
          </w:p>
          <w:p w14:paraId="64827FC0">
            <w:pPr>
              <w:rPr>
                <w:rFonts w:hint="eastAsia" w:ascii="宋体" w:hAnsi="宋体" w:eastAsia="宋体"/>
                <w:bCs/>
                <w:szCs w:val="21"/>
              </w:rPr>
            </w:pPr>
            <w:r>
              <w:rPr>
                <w:rFonts w:hint="eastAsia" w:ascii="宋体" w:hAnsi="宋体" w:eastAsia="宋体"/>
                <w:bCs/>
                <w:szCs w:val="21"/>
              </w:rPr>
              <w:t>防护栏、洞口盖件未设置警示色，每处扣2分</w:t>
            </w:r>
          </w:p>
          <w:p w14:paraId="68787591">
            <w:pPr>
              <w:rPr>
                <w:rFonts w:hint="eastAsia" w:ascii="宋体" w:hAnsi="宋体" w:eastAsia="宋体"/>
                <w:bCs/>
                <w:szCs w:val="21"/>
              </w:rPr>
            </w:pPr>
            <w:r>
              <w:rPr>
                <w:rFonts w:hint="eastAsia" w:ascii="宋体" w:hAnsi="宋体" w:eastAsia="宋体"/>
                <w:bCs/>
                <w:szCs w:val="21"/>
              </w:rPr>
              <w:t>洞口作业时，未采取防坠落措施，或不满足相关规定，每处扣10分</w:t>
            </w:r>
          </w:p>
        </w:tc>
        <w:tc>
          <w:tcPr>
            <w:tcW w:w="851" w:type="dxa"/>
            <w:tcBorders>
              <w:top w:val="single" w:color="auto" w:sz="4" w:space="0"/>
              <w:left w:val="single" w:color="auto" w:sz="4" w:space="0"/>
              <w:bottom w:val="single" w:color="auto" w:sz="4" w:space="0"/>
              <w:right w:val="single" w:color="auto" w:sz="4" w:space="0"/>
            </w:tcBorders>
            <w:vAlign w:val="center"/>
          </w:tcPr>
          <w:p w14:paraId="4A1B0F12">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tcPr>
          <w:p w14:paraId="67F85E8B">
            <w:pPr>
              <w:rPr>
                <w:rFonts w:hint="eastAsia" w:ascii="宋体" w:hAnsi="宋体" w:eastAsia="宋体"/>
                <w:bCs/>
                <w:szCs w:val="21"/>
              </w:rPr>
            </w:pPr>
          </w:p>
        </w:tc>
      </w:tr>
      <w:tr w14:paraId="1226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567D63C3">
            <w:pPr>
              <w:rPr>
                <w:rFonts w:hint="eastAsia" w:ascii="宋体" w:hAnsi="宋体" w:eastAsia="宋体"/>
                <w:bCs/>
                <w:szCs w:val="21"/>
              </w:rPr>
            </w:pPr>
            <w:r>
              <w:rPr>
                <w:rFonts w:hint="eastAsia" w:ascii="宋体" w:hAnsi="宋体" w:eastAsia="宋体"/>
                <w:bCs/>
                <w:szCs w:val="21"/>
              </w:rPr>
              <w:t>3</w:t>
            </w:r>
          </w:p>
        </w:tc>
        <w:tc>
          <w:tcPr>
            <w:tcW w:w="1129" w:type="dxa"/>
            <w:tcBorders>
              <w:top w:val="single" w:color="auto" w:sz="4" w:space="0"/>
              <w:left w:val="single" w:color="auto" w:sz="4" w:space="0"/>
              <w:bottom w:val="single" w:color="auto" w:sz="4" w:space="0"/>
              <w:right w:val="single" w:color="auto" w:sz="4" w:space="0"/>
            </w:tcBorders>
            <w:vAlign w:val="center"/>
          </w:tcPr>
          <w:p w14:paraId="28E3B883">
            <w:pPr>
              <w:rPr>
                <w:rFonts w:hint="eastAsia" w:ascii="宋体" w:hAnsi="宋体" w:eastAsia="宋体"/>
                <w:bCs/>
                <w:szCs w:val="21"/>
              </w:rPr>
            </w:pPr>
            <w:r>
              <w:rPr>
                <w:rFonts w:hint="eastAsia" w:ascii="宋体" w:hAnsi="宋体" w:eastAsia="宋体"/>
                <w:bCs/>
                <w:szCs w:val="21"/>
              </w:rPr>
              <w:t>通道口防护</w:t>
            </w:r>
          </w:p>
        </w:tc>
        <w:tc>
          <w:tcPr>
            <w:tcW w:w="5386" w:type="dxa"/>
            <w:tcBorders>
              <w:top w:val="single" w:color="auto" w:sz="4" w:space="0"/>
              <w:left w:val="single" w:color="auto" w:sz="4" w:space="0"/>
              <w:bottom w:val="single" w:color="auto" w:sz="4" w:space="0"/>
              <w:right w:val="single" w:color="auto" w:sz="4" w:space="0"/>
            </w:tcBorders>
            <w:vAlign w:val="center"/>
          </w:tcPr>
          <w:p w14:paraId="21FE74A6">
            <w:pPr>
              <w:rPr>
                <w:rFonts w:hint="eastAsia" w:ascii="宋体" w:hAnsi="宋体" w:eastAsia="宋体"/>
                <w:bCs/>
                <w:szCs w:val="21"/>
              </w:rPr>
            </w:pPr>
            <w:r>
              <w:rPr>
                <w:rFonts w:hint="eastAsia" w:ascii="宋体" w:hAnsi="宋体" w:eastAsia="宋体"/>
                <w:bCs/>
                <w:szCs w:val="21"/>
              </w:rPr>
              <w:t>防护棚的材质不符合规范及设计要求，每处扣5分</w:t>
            </w:r>
          </w:p>
          <w:p w14:paraId="111D3856">
            <w:pPr>
              <w:rPr>
                <w:rFonts w:hint="eastAsia" w:ascii="宋体" w:hAnsi="宋体" w:eastAsia="宋体"/>
                <w:bCs/>
                <w:szCs w:val="21"/>
              </w:rPr>
            </w:pPr>
            <w:r>
              <w:rPr>
                <w:rFonts w:hint="eastAsia" w:ascii="宋体" w:hAnsi="宋体" w:eastAsia="宋体"/>
                <w:bCs/>
                <w:szCs w:val="21"/>
              </w:rPr>
              <w:t>防护棚长度和宽度不符合规范及设计要求，每处扣5分</w:t>
            </w:r>
          </w:p>
        </w:tc>
        <w:tc>
          <w:tcPr>
            <w:tcW w:w="851" w:type="dxa"/>
            <w:tcBorders>
              <w:top w:val="single" w:color="auto" w:sz="4" w:space="0"/>
              <w:left w:val="single" w:color="auto" w:sz="4" w:space="0"/>
              <w:bottom w:val="single" w:color="auto" w:sz="4" w:space="0"/>
              <w:right w:val="single" w:color="auto" w:sz="4" w:space="0"/>
            </w:tcBorders>
            <w:vAlign w:val="center"/>
          </w:tcPr>
          <w:p w14:paraId="76AE33B7">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63240124">
            <w:pPr>
              <w:rPr>
                <w:rFonts w:hint="eastAsia" w:ascii="宋体" w:hAnsi="宋体" w:eastAsia="宋体"/>
                <w:bCs/>
                <w:szCs w:val="21"/>
              </w:rPr>
            </w:pPr>
          </w:p>
        </w:tc>
      </w:tr>
      <w:tr w14:paraId="39E2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65B4B45F">
            <w:pPr>
              <w:rPr>
                <w:rFonts w:hint="eastAsia" w:ascii="宋体" w:hAnsi="宋体" w:eastAsia="宋体"/>
                <w:bCs/>
                <w:szCs w:val="21"/>
              </w:rPr>
            </w:pPr>
            <w:r>
              <w:rPr>
                <w:rFonts w:hint="eastAsia" w:ascii="宋体" w:hAnsi="宋体" w:eastAsia="宋体"/>
                <w:bCs/>
                <w:szCs w:val="21"/>
              </w:rPr>
              <w:t>4</w:t>
            </w:r>
          </w:p>
        </w:tc>
        <w:tc>
          <w:tcPr>
            <w:tcW w:w="1129" w:type="dxa"/>
            <w:tcBorders>
              <w:top w:val="single" w:color="auto" w:sz="4" w:space="0"/>
              <w:left w:val="single" w:color="auto" w:sz="4" w:space="0"/>
              <w:bottom w:val="single" w:color="auto" w:sz="4" w:space="0"/>
              <w:right w:val="single" w:color="auto" w:sz="4" w:space="0"/>
            </w:tcBorders>
            <w:vAlign w:val="center"/>
          </w:tcPr>
          <w:p w14:paraId="746E4071">
            <w:pPr>
              <w:rPr>
                <w:rFonts w:hint="eastAsia" w:ascii="宋体" w:hAnsi="宋体" w:eastAsia="宋体"/>
                <w:bCs/>
                <w:szCs w:val="21"/>
              </w:rPr>
            </w:pPr>
            <w:r>
              <w:rPr>
                <w:rFonts w:hint="eastAsia" w:ascii="宋体" w:hAnsi="宋体" w:eastAsia="宋体"/>
                <w:bCs/>
                <w:szCs w:val="21"/>
              </w:rPr>
              <w:t>攀登与悬空作业</w:t>
            </w:r>
          </w:p>
        </w:tc>
        <w:tc>
          <w:tcPr>
            <w:tcW w:w="5386" w:type="dxa"/>
            <w:tcBorders>
              <w:top w:val="single" w:color="auto" w:sz="4" w:space="0"/>
              <w:left w:val="single" w:color="auto" w:sz="4" w:space="0"/>
              <w:bottom w:val="single" w:color="auto" w:sz="4" w:space="0"/>
              <w:right w:val="single" w:color="auto" w:sz="4" w:space="0"/>
            </w:tcBorders>
            <w:vAlign w:val="center"/>
          </w:tcPr>
          <w:p w14:paraId="32A94FA9">
            <w:pPr>
              <w:rPr>
                <w:rFonts w:hint="eastAsia" w:ascii="宋体" w:hAnsi="宋体" w:eastAsia="宋体"/>
                <w:bCs/>
                <w:szCs w:val="21"/>
              </w:rPr>
            </w:pPr>
            <w:r>
              <w:rPr>
                <w:rFonts w:hint="eastAsia" w:ascii="宋体" w:hAnsi="宋体" w:eastAsia="宋体"/>
                <w:bCs/>
                <w:szCs w:val="21"/>
              </w:rPr>
              <w:t>悬空作业的立足处的设置应牢固，并应配置登高和防坠落装置和设施；不符合每项扣5分</w:t>
            </w:r>
          </w:p>
          <w:p w14:paraId="732BF40D">
            <w:pPr>
              <w:rPr>
                <w:rFonts w:hint="eastAsia" w:ascii="宋体" w:hAnsi="宋体" w:eastAsia="宋体"/>
                <w:bCs/>
                <w:szCs w:val="21"/>
              </w:rPr>
            </w:pPr>
            <w:r>
              <w:rPr>
                <w:rFonts w:hint="eastAsia" w:ascii="宋体" w:hAnsi="宋体" w:eastAsia="宋体"/>
                <w:bCs/>
                <w:szCs w:val="21"/>
              </w:rPr>
              <w:t>构件吊装和管道安装时的悬空作业不符合规范要求，悬空作业所用的索具、吊具等不符合要求并未经验收合格后使用，每处扣2分</w:t>
            </w:r>
          </w:p>
        </w:tc>
        <w:tc>
          <w:tcPr>
            <w:tcW w:w="851" w:type="dxa"/>
            <w:tcBorders>
              <w:top w:val="single" w:color="auto" w:sz="4" w:space="0"/>
              <w:left w:val="single" w:color="auto" w:sz="4" w:space="0"/>
              <w:bottom w:val="single" w:color="auto" w:sz="4" w:space="0"/>
              <w:right w:val="single" w:color="auto" w:sz="4" w:space="0"/>
            </w:tcBorders>
            <w:vAlign w:val="center"/>
          </w:tcPr>
          <w:p w14:paraId="68E1D41E">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16983CAA">
            <w:pPr>
              <w:rPr>
                <w:rFonts w:hint="eastAsia" w:ascii="宋体" w:hAnsi="宋体" w:eastAsia="宋体"/>
                <w:bCs/>
                <w:szCs w:val="21"/>
              </w:rPr>
            </w:pPr>
          </w:p>
        </w:tc>
      </w:tr>
      <w:tr w14:paraId="6BBF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3BCA85FC">
            <w:pPr>
              <w:rPr>
                <w:rFonts w:hint="eastAsia" w:ascii="宋体" w:hAnsi="宋体" w:eastAsia="宋体"/>
                <w:bCs/>
                <w:szCs w:val="21"/>
              </w:rPr>
            </w:pPr>
            <w:r>
              <w:rPr>
                <w:rFonts w:hint="eastAsia" w:ascii="宋体" w:hAnsi="宋体" w:eastAsia="宋体"/>
                <w:bCs/>
                <w:szCs w:val="21"/>
              </w:rPr>
              <w:t>5</w:t>
            </w:r>
          </w:p>
        </w:tc>
        <w:tc>
          <w:tcPr>
            <w:tcW w:w="1129" w:type="dxa"/>
            <w:tcBorders>
              <w:top w:val="single" w:color="auto" w:sz="4" w:space="0"/>
              <w:left w:val="single" w:color="auto" w:sz="4" w:space="0"/>
              <w:bottom w:val="single" w:color="auto" w:sz="4" w:space="0"/>
              <w:right w:val="single" w:color="auto" w:sz="4" w:space="0"/>
            </w:tcBorders>
            <w:vAlign w:val="center"/>
          </w:tcPr>
          <w:p w14:paraId="2FEECB21">
            <w:pPr>
              <w:rPr>
                <w:rFonts w:hint="eastAsia" w:ascii="宋体" w:hAnsi="宋体" w:eastAsia="宋体"/>
                <w:bCs/>
                <w:szCs w:val="21"/>
              </w:rPr>
            </w:pPr>
            <w:r>
              <w:rPr>
                <w:rFonts w:hint="eastAsia" w:ascii="宋体" w:hAnsi="宋体" w:eastAsia="宋体"/>
                <w:bCs/>
                <w:szCs w:val="21"/>
              </w:rPr>
              <w:t>操作平台</w:t>
            </w:r>
          </w:p>
        </w:tc>
        <w:tc>
          <w:tcPr>
            <w:tcW w:w="5386" w:type="dxa"/>
            <w:tcBorders>
              <w:top w:val="single" w:color="auto" w:sz="4" w:space="0"/>
              <w:left w:val="single" w:color="auto" w:sz="4" w:space="0"/>
              <w:bottom w:val="single" w:color="auto" w:sz="4" w:space="0"/>
              <w:right w:val="single" w:color="auto" w:sz="4" w:space="0"/>
            </w:tcBorders>
            <w:vAlign w:val="center"/>
          </w:tcPr>
          <w:p w14:paraId="36BB673E">
            <w:pPr>
              <w:rPr>
                <w:rFonts w:hint="eastAsia" w:ascii="宋体" w:hAnsi="宋体" w:eastAsia="宋体"/>
                <w:bCs/>
                <w:szCs w:val="21"/>
              </w:rPr>
            </w:pPr>
            <w:r>
              <w:rPr>
                <w:rFonts w:hint="eastAsia" w:ascii="宋体" w:hAnsi="宋体" w:eastAsia="宋体"/>
                <w:bCs/>
                <w:szCs w:val="21"/>
              </w:rPr>
              <w:t>未在操作平台明显位置设置标明允许负载值的限载牌，每项扣5分</w:t>
            </w:r>
          </w:p>
          <w:p w14:paraId="13B126F6">
            <w:pPr>
              <w:rPr>
                <w:rFonts w:hint="eastAsia" w:ascii="宋体" w:hAnsi="宋体" w:eastAsia="宋体"/>
                <w:bCs/>
                <w:szCs w:val="21"/>
              </w:rPr>
            </w:pPr>
            <w:r>
              <w:rPr>
                <w:rFonts w:hint="eastAsia" w:ascii="宋体" w:hAnsi="宋体" w:eastAsia="宋体"/>
                <w:bCs/>
                <w:szCs w:val="21"/>
              </w:rPr>
              <w:t>移动式升降工作平台未编制定期检查和维护保养方案，</w:t>
            </w:r>
            <w:r>
              <w:rPr>
                <w:rFonts w:hint="eastAsia" w:ascii="宋体" w:hAnsi="宋体" w:eastAsia="宋体"/>
                <w:bCs/>
                <w:szCs w:val="21"/>
                <w:lang w:val="en-US" w:eastAsia="zh-CN"/>
              </w:rPr>
              <w:t>未</w:t>
            </w:r>
            <w:r>
              <w:rPr>
                <w:rFonts w:hint="eastAsia" w:ascii="宋体" w:hAnsi="宋体" w:eastAsia="宋体"/>
                <w:bCs/>
                <w:szCs w:val="21"/>
              </w:rPr>
              <w:t>按方案定期开展检查及维护，扣10分</w:t>
            </w:r>
          </w:p>
          <w:p w14:paraId="35024A26">
            <w:pPr>
              <w:rPr>
                <w:rFonts w:hint="eastAsia" w:ascii="宋体" w:hAnsi="宋体" w:eastAsia="宋体"/>
                <w:bCs/>
                <w:szCs w:val="21"/>
              </w:rPr>
            </w:pPr>
            <w:r>
              <w:rPr>
                <w:rFonts w:hint="eastAsia" w:ascii="宋体" w:hAnsi="宋体" w:eastAsia="宋体"/>
                <w:bCs/>
                <w:szCs w:val="21"/>
              </w:rPr>
              <w:t>移动式升降工作平台年检超过有效期，升降工作平台进场时，相关单位未进行设备进场验收，每台扣5分</w:t>
            </w:r>
          </w:p>
          <w:p w14:paraId="7E5B788B">
            <w:pPr>
              <w:rPr>
                <w:rFonts w:hint="eastAsia" w:ascii="宋体" w:hAnsi="宋体" w:eastAsia="宋体"/>
                <w:bCs/>
                <w:szCs w:val="21"/>
              </w:rPr>
            </w:pPr>
            <w:r>
              <w:rPr>
                <w:rFonts w:hint="eastAsia" w:ascii="宋体" w:hAnsi="宋体" w:eastAsia="宋体"/>
                <w:bCs/>
                <w:szCs w:val="21"/>
              </w:rPr>
              <w:t>移动式升降工作平台安全装置缺失或失效，每处扣2分；</w:t>
            </w:r>
          </w:p>
          <w:p w14:paraId="08C634DE">
            <w:pPr>
              <w:rPr>
                <w:rFonts w:hint="eastAsia" w:ascii="宋体" w:hAnsi="宋体" w:eastAsia="宋体"/>
                <w:bCs/>
                <w:szCs w:val="21"/>
              </w:rPr>
            </w:pPr>
            <w:r>
              <w:rPr>
                <w:rFonts w:hint="eastAsia" w:ascii="宋体" w:hAnsi="宋体" w:eastAsia="宋体"/>
                <w:bCs/>
                <w:szCs w:val="21"/>
              </w:rPr>
              <w:t>移动式升降工作平台操作人员未经培训考核合格后颁发操作资格证，每人扣2分</w:t>
            </w:r>
          </w:p>
          <w:p w14:paraId="157F16FA">
            <w:pPr>
              <w:rPr>
                <w:rFonts w:hint="eastAsia" w:ascii="宋体" w:hAnsi="宋体" w:eastAsia="宋体"/>
                <w:bCs/>
                <w:szCs w:val="21"/>
              </w:rPr>
            </w:pPr>
            <w:r>
              <w:rPr>
                <w:rFonts w:hint="eastAsia" w:ascii="宋体" w:hAnsi="宋体" w:eastAsia="宋体"/>
                <w:bCs/>
                <w:szCs w:val="21"/>
              </w:rPr>
              <w:t>使用单位未安排专人负责升降工作平台的管理，在施工作业未在外围设置有效的警示措施，扣5分</w:t>
            </w:r>
          </w:p>
          <w:p w14:paraId="5F7197AB">
            <w:pPr>
              <w:rPr>
                <w:rFonts w:hint="eastAsia" w:ascii="宋体" w:hAnsi="宋体" w:eastAsia="宋体"/>
                <w:bCs/>
                <w:szCs w:val="21"/>
              </w:rPr>
            </w:pPr>
            <w:r>
              <w:rPr>
                <w:rFonts w:hint="eastAsia" w:ascii="宋体" w:hAnsi="宋体" w:eastAsia="宋体"/>
                <w:bCs/>
                <w:szCs w:val="21"/>
              </w:rPr>
              <w:t>升降工作平台施工区域出现各工种交叉作业的情况，扣10分</w:t>
            </w:r>
          </w:p>
          <w:p w14:paraId="7052B0F1">
            <w:pPr>
              <w:rPr>
                <w:rFonts w:hint="eastAsia" w:ascii="宋体" w:hAnsi="宋体" w:eastAsia="宋体"/>
                <w:bCs/>
                <w:szCs w:val="21"/>
              </w:rPr>
            </w:pPr>
            <w:r>
              <w:rPr>
                <w:rFonts w:hint="eastAsia" w:ascii="宋体" w:hAnsi="宋体" w:eastAsia="宋体"/>
                <w:bCs/>
                <w:szCs w:val="21"/>
              </w:rPr>
              <w:t>移动式操作平台面积、高度、高宽比、施工荷载应满足规范要求，轮子与平台架体连接应牢固，立柱底端离地面不得大于80mm，行走轮和导向轮应配有制动器或刹车闸等制动措施；不符合每项扣2分</w:t>
            </w:r>
          </w:p>
          <w:p w14:paraId="1951844E">
            <w:pPr>
              <w:rPr>
                <w:rFonts w:hint="eastAsia" w:ascii="宋体" w:hAnsi="宋体" w:eastAsia="宋体"/>
                <w:bCs/>
                <w:szCs w:val="21"/>
              </w:rPr>
            </w:pPr>
            <w:r>
              <w:rPr>
                <w:rFonts w:hint="eastAsia" w:ascii="宋体" w:hAnsi="宋体" w:eastAsia="宋体"/>
                <w:bCs/>
                <w:szCs w:val="21"/>
              </w:rPr>
              <w:t>落地式操作平台高度、高宽比、施工平台的施工荷载应满足规范及设计要求；使用脚手架搭设操作平台时，其立杆间距和步距等结构要求应符合国家现行相关脚手架规范的规定；不符合每项扣2分</w:t>
            </w:r>
          </w:p>
          <w:p w14:paraId="3A30EFA6">
            <w:pPr>
              <w:rPr>
                <w:rFonts w:hint="eastAsia" w:ascii="宋体" w:hAnsi="宋体" w:eastAsia="宋体"/>
                <w:bCs/>
                <w:szCs w:val="21"/>
              </w:rPr>
            </w:pPr>
            <w:r>
              <w:rPr>
                <w:rFonts w:hint="eastAsia" w:ascii="宋体" w:hAnsi="宋体" w:eastAsia="宋体"/>
                <w:bCs/>
                <w:szCs w:val="21"/>
              </w:rPr>
              <w:t>严禁将悬挑式操作平台设置在临时设施上，每处扣10分</w:t>
            </w:r>
          </w:p>
          <w:p w14:paraId="4E260558">
            <w:pPr>
              <w:rPr>
                <w:rFonts w:hint="eastAsia" w:ascii="宋体" w:hAnsi="宋体" w:eastAsia="宋体"/>
                <w:bCs/>
                <w:szCs w:val="21"/>
              </w:rPr>
            </w:pPr>
            <w:r>
              <w:rPr>
                <w:rFonts w:hint="eastAsia" w:ascii="宋体" w:hAnsi="宋体" w:eastAsia="宋体"/>
                <w:bCs/>
                <w:szCs w:val="21"/>
              </w:rPr>
              <w:t>悬挑式操作平台的结构应稳定可靠，承载力应符合设计要求，不符合要求扣10分</w:t>
            </w:r>
            <w:bookmarkStart w:id="0" w:name="_GoBack"/>
            <w:bookmarkEnd w:id="0"/>
          </w:p>
          <w:p w14:paraId="19B82757">
            <w:pPr>
              <w:rPr>
                <w:rFonts w:hint="eastAsia" w:ascii="宋体" w:hAnsi="宋体" w:eastAsia="宋体"/>
                <w:bCs/>
                <w:szCs w:val="21"/>
              </w:rPr>
            </w:pPr>
            <w:r>
              <w:rPr>
                <w:rFonts w:hint="eastAsia" w:ascii="宋体" w:hAnsi="宋体" w:eastAsia="宋体"/>
                <w:bCs/>
                <w:szCs w:val="21"/>
              </w:rPr>
              <w:t>悬挑式操作平台的悬挑长度大于5m，均布荷载、集中荷载大于规范及设计要求，悬挑梁未锚固固定，扣10分</w:t>
            </w:r>
          </w:p>
        </w:tc>
        <w:tc>
          <w:tcPr>
            <w:tcW w:w="851" w:type="dxa"/>
            <w:tcBorders>
              <w:top w:val="single" w:color="auto" w:sz="4" w:space="0"/>
              <w:left w:val="single" w:color="auto" w:sz="4" w:space="0"/>
              <w:bottom w:val="single" w:color="auto" w:sz="4" w:space="0"/>
              <w:right w:val="single" w:color="auto" w:sz="4" w:space="0"/>
            </w:tcBorders>
            <w:vAlign w:val="center"/>
          </w:tcPr>
          <w:p w14:paraId="499E569A">
            <w:pPr>
              <w:rPr>
                <w:rFonts w:hint="eastAsia" w:ascii="宋体" w:hAnsi="宋体" w:eastAsia="宋体"/>
                <w:bCs/>
                <w:szCs w:val="21"/>
              </w:rPr>
            </w:pPr>
            <w:r>
              <w:rPr>
                <w:rFonts w:hint="eastAsia" w:ascii="宋体" w:hAnsi="宋体" w:eastAsia="宋体"/>
                <w:bCs/>
                <w:szCs w:val="21"/>
              </w:rPr>
              <w:t>30</w:t>
            </w:r>
          </w:p>
        </w:tc>
        <w:tc>
          <w:tcPr>
            <w:tcW w:w="850" w:type="dxa"/>
            <w:tcBorders>
              <w:top w:val="single" w:color="auto" w:sz="4" w:space="0"/>
              <w:left w:val="single" w:color="auto" w:sz="4" w:space="0"/>
              <w:bottom w:val="single" w:color="auto" w:sz="4" w:space="0"/>
              <w:right w:val="single" w:color="auto" w:sz="4" w:space="0"/>
            </w:tcBorders>
          </w:tcPr>
          <w:p w14:paraId="1BD29BDA">
            <w:pPr>
              <w:rPr>
                <w:rFonts w:hint="eastAsia" w:ascii="宋体" w:hAnsi="宋体" w:eastAsia="宋体"/>
                <w:bCs/>
                <w:szCs w:val="21"/>
              </w:rPr>
            </w:pPr>
          </w:p>
        </w:tc>
      </w:tr>
      <w:tr w14:paraId="4AAF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6E6D31C7">
            <w:pPr>
              <w:rPr>
                <w:rFonts w:hint="eastAsia" w:ascii="宋体" w:hAnsi="宋体" w:eastAsia="宋体"/>
                <w:bCs/>
                <w:szCs w:val="21"/>
              </w:rPr>
            </w:pPr>
            <w:r>
              <w:rPr>
                <w:rFonts w:hint="eastAsia" w:ascii="宋体" w:hAnsi="宋体" w:eastAsia="宋体"/>
                <w:bCs/>
                <w:szCs w:val="21"/>
              </w:rPr>
              <w:t>6</w:t>
            </w:r>
          </w:p>
        </w:tc>
        <w:tc>
          <w:tcPr>
            <w:tcW w:w="1129" w:type="dxa"/>
            <w:tcBorders>
              <w:top w:val="single" w:color="auto" w:sz="4" w:space="0"/>
              <w:left w:val="single" w:color="auto" w:sz="4" w:space="0"/>
              <w:bottom w:val="single" w:color="auto" w:sz="4" w:space="0"/>
              <w:right w:val="single" w:color="auto" w:sz="4" w:space="0"/>
            </w:tcBorders>
            <w:vAlign w:val="center"/>
          </w:tcPr>
          <w:p w14:paraId="5C80560C">
            <w:pPr>
              <w:rPr>
                <w:rFonts w:hint="eastAsia" w:ascii="宋体" w:hAnsi="宋体" w:eastAsia="宋体"/>
                <w:bCs/>
                <w:szCs w:val="21"/>
              </w:rPr>
            </w:pPr>
            <w:r>
              <w:rPr>
                <w:rFonts w:hint="eastAsia" w:ascii="宋体" w:hAnsi="宋体" w:eastAsia="宋体"/>
                <w:bCs/>
                <w:szCs w:val="21"/>
              </w:rPr>
              <w:t>交叉作业</w:t>
            </w:r>
          </w:p>
        </w:tc>
        <w:tc>
          <w:tcPr>
            <w:tcW w:w="5386" w:type="dxa"/>
            <w:tcBorders>
              <w:top w:val="single" w:color="auto" w:sz="4" w:space="0"/>
              <w:left w:val="single" w:color="auto" w:sz="4" w:space="0"/>
              <w:bottom w:val="single" w:color="auto" w:sz="4" w:space="0"/>
              <w:right w:val="single" w:color="auto" w:sz="4" w:space="0"/>
            </w:tcBorders>
            <w:vAlign w:val="center"/>
          </w:tcPr>
          <w:p w14:paraId="38CD4EB9">
            <w:pPr>
              <w:rPr>
                <w:rFonts w:hint="eastAsia" w:ascii="宋体" w:hAnsi="宋体" w:eastAsia="宋体"/>
                <w:bCs/>
                <w:szCs w:val="21"/>
              </w:rPr>
            </w:pPr>
            <w:r>
              <w:rPr>
                <w:rFonts w:hint="eastAsia" w:ascii="宋体" w:hAnsi="宋体" w:eastAsia="宋体"/>
                <w:bCs/>
                <w:szCs w:val="21"/>
              </w:rPr>
              <w:t>下层作业的位置处于上层作业高度确定的坠落半径范围之内，扣10分</w:t>
            </w:r>
          </w:p>
          <w:p w14:paraId="5DED2AF0">
            <w:pPr>
              <w:rPr>
                <w:rFonts w:hint="eastAsia" w:ascii="宋体" w:hAnsi="宋体" w:eastAsia="宋体"/>
                <w:bCs/>
                <w:szCs w:val="21"/>
              </w:rPr>
            </w:pPr>
            <w:r>
              <w:rPr>
                <w:rFonts w:hint="eastAsia" w:ascii="宋体" w:hAnsi="宋体" w:eastAsia="宋体"/>
                <w:bCs/>
                <w:szCs w:val="21"/>
              </w:rPr>
              <w:t>在可能坠落半径范围内进行交叉作业的，未设置安全可靠的防护隔离措施，扣10分</w:t>
            </w:r>
          </w:p>
        </w:tc>
        <w:tc>
          <w:tcPr>
            <w:tcW w:w="851" w:type="dxa"/>
            <w:tcBorders>
              <w:top w:val="single" w:color="auto" w:sz="4" w:space="0"/>
              <w:left w:val="single" w:color="auto" w:sz="4" w:space="0"/>
              <w:bottom w:val="single" w:color="auto" w:sz="4" w:space="0"/>
              <w:right w:val="single" w:color="auto" w:sz="4" w:space="0"/>
            </w:tcBorders>
            <w:vAlign w:val="center"/>
          </w:tcPr>
          <w:p w14:paraId="09D46F02">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32A5CA1D">
            <w:pPr>
              <w:rPr>
                <w:rFonts w:hint="eastAsia" w:ascii="宋体" w:hAnsi="宋体" w:eastAsia="宋体"/>
                <w:bCs/>
                <w:szCs w:val="21"/>
              </w:rPr>
            </w:pPr>
          </w:p>
        </w:tc>
      </w:tr>
      <w:tr w14:paraId="2399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4C93F249">
            <w:pPr>
              <w:rPr>
                <w:rFonts w:hint="eastAsia" w:ascii="宋体" w:hAnsi="宋体" w:eastAsia="宋体"/>
                <w:bCs/>
                <w:szCs w:val="21"/>
              </w:rPr>
            </w:pPr>
            <w:r>
              <w:rPr>
                <w:rFonts w:hint="eastAsia" w:ascii="宋体" w:hAnsi="宋体" w:eastAsia="宋体"/>
                <w:bCs/>
                <w:szCs w:val="21"/>
              </w:rPr>
              <w:t>7</w:t>
            </w:r>
          </w:p>
        </w:tc>
        <w:tc>
          <w:tcPr>
            <w:tcW w:w="1129" w:type="dxa"/>
            <w:tcBorders>
              <w:top w:val="single" w:color="auto" w:sz="4" w:space="0"/>
              <w:left w:val="single" w:color="auto" w:sz="4" w:space="0"/>
              <w:bottom w:val="single" w:color="auto" w:sz="4" w:space="0"/>
              <w:right w:val="single" w:color="auto" w:sz="4" w:space="0"/>
            </w:tcBorders>
            <w:vAlign w:val="center"/>
          </w:tcPr>
          <w:p w14:paraId="047792B1">
            <w:pPr>
              <w:rPr>
                <w:rFonts w:hint="eastAsia" w:ascii="宋体" w:hAnsi="宋体" w:eastAsia="宋体"/>
                <w:bCs/>
                <w:szCs w:val="21"/>
              </w:rPr>
            </w:pPr>
            <w:r>
              <w:rPr>
                <w:rFonts w:hint="eastAsia" w:ascii="宋体" w:hAnsi="宋体" w:eastAsia="宋体"/>
                <w:bCs/>
                <w:szCs w:val="21"/>
              </w:rPr>
              <w:t>验收管理</w:t>
            </w:r>
          </w:p>
        </w:tc>
        <w:tc>
          <w:tcPr>
            <w:tcW w:w="5386" w:type="dxa"/>
            <w:tcBorders>
              <w:top w:val="single" w:color="auto" w:sz="4" w:space="0"/>
              <w:left w:val="single" w:color="auto" w:sz="4" w:space="0"/>
              <w:bottom w:val="single" w:color="auto" w:sz="4" w:space="0"/>
              <w:right w:val="single" w:color="auto" w:sz="4" w:space="0"/>
            </w:tcBorders>
            <w:vAlign w:val="center"/>
          </w:tcPr>
          <w:p w14:paraId="501C5291">
            <w:pPr>
              <w:rPr>
                <w:rFonts w:hint="eastAsia" w:ascii="宋体" w:hAnsi="宋体" w:eastAsia="宋体"/>
                <w:bCs/>
                <w:szCs w:val="21"/>
              </w:rPr>
            </w:pPr>
            <w:r>
              <w:rPr>
                <w:rFonts w:hint="eastAsia" w:ascii="宋体" w:hAnsi="宋体" w:eastAsia="宋体"/>
                <w:bCs/>
                <w:szCs w:val="21"/>
              </w:rPr>
              <w:t>高处作业之前未进行安全防护设施的逐项检查和验收，未按类别逐项查验并作出验收记录，扣5分</w:t>
            </w:r>
          </w:p>
        </w:tc>
        <w:tc>
          <w:tcPr>
            <w:tcW w:w="851" w:type="dxa"/>
            <w:tcBorders>
              <w:top w:val="single" w:color="auto" w:sz="4" w:space="0"/>
              <w:left w:val="single" w:color="auto" w:sz="4" w:space="0"/>
              <w:bottom w:val="single" w:color="auto" w:sz="4" w:space="0"/>
              <w:right w:val="single" w:color="auto" w:sz="4" w:space="0"/>
            </w:tcBorders>
            <w:vAlign w:val="center"/>
          </w:tcPr>
          <w:p w14:paraId="3A2B283E">
            <w:pPr>
              <w:rPr>
                <w:rFonts w:hint="eastAsia" w:ascii="宋体" w:hAnsi="宋体" w:eastAsia="宋体"/>
                <w:bCs/>
                <w:szCs w:val="21"/>
              </w:rPr>
            </w:pPr>
            <w:r>
              <w:rPr>
                <w:rFonts w:hint="eastAsia" w:ascii="宋体" w:hAnsi="宋体" w:eastAsia="宋体"/>
                <w:bCs/>
                <w:szCs w:val="21"/>
              </w:rPr>
              <w:t>5</w:t>
            </w:r>
          </w:p>
        </w:tc>
        <w:tc>
          <w:tcPr>
            <w:tcW w:w="850" w:type="dxa"/>
            <w:tcBorders>
              <w:top w:val="single" w:color="auto" w:sz="4" w:space="0"/>
              <w:left w:val="single" w:color="auto" w:sz="4" w:space="0"/>
              <w:bottom w:val="single" w:color="auto" w:sz="4" w:space="0"/>
              <w:right w:val="single" w:color="auto" w:sz="4" w:space="0"/>
            </w:tcBorders>
          </w:tcPr>
          <w:p w14:paraId="259AA34E">
            <w:pPr>
              <w:rPr>
                <w:rFonts w:hint="eastAsia" w:ascii="宋体" w:hAnsi="宋体" w:eastAsia="宋体"/>
                <w:bCs/>
                <w:szCs w:val="21"/>
              </w:rPr>
            </w:pPr>
          </w:p>
        </w:tc>
      </w:tr>
      <w:tr w14:paraId="0DE8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gridSpan w:val="2"/>
            <w:tcBorders>
              <w:top w:val="single" w:color="auto" w:sz="4" w:space="0"/>
              <w:left w:val="single" w:color="auto" w:sz="4" w:space="0"/>
              <w:bottom w:val="single" w:color="auto" w:sz="4" w:space="0"/>
              <w:right w:val="single" w:color="auto" w:sz="4" w:space="0"/>
            </w:tcBorders>
          </w:tcPr>
          <w:p w14:paraId="41B3B2D8">
            <w:pPr>
              <w:rPr>
                <w:rFonts w:hint="eastAsia" w:ascii="宋体" w:hAnsi="宋体" w:eastAsia="宋体"/>
                <w:bCs/>
                <w:szCs w:val="21"/>
              </w:rPr>
            </w:pPr>
            <w:r>
              <w:rPr>
                <w:rFonts w:hint="eastAsia" w:ascii="宋体" w:hAnsi="宋体" w:eastAsia="宋体"/>
                <w:bCs/>
                <w:szCs w:val="21"/>
              </w:rPr>
              <w:t>评价项目合计</w:t>
            </w:r>
          </w:p>
        </w:tc>
        <w:tc>
          <w:tcPr>
            <w:tcW w:w="5386" w:type="dxa"/>
            <w:tcBorders>
              <w:top w:val="single" w:color="auto" w:sz="4" w:space="0"/>
              <w:left w:val="single" w:color="auto" w:sz="4" w:space="0"/>
              <w:bottom w:val="single" w:color="auto" w:sz="4" w:space="0"/>
              <w:right w:val="single" w:color="auto" w:sz="4" w:space="0"/>
            </w:tcBorders>
          </w:tcPr>
          <w:p w14:paraId="0912A177">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tcPr>
          <w:p w14:paraId="48266058">
            <w:pPr>
              <w:rPr>
                <w:rFonts w:hint="eastAsia" w:ascii="宋体" w:hAnsi="宋体" w:eastAsia="宋体"/>
                <w:bCs/>
                <w:szCs w:val="21"/>
              </w:rPr>
            </w:pPr>
            <w:r>
              <w:rPr>
                <w:rFonts w:hint="eastAsia" w:ascii="宋体" w:hAnsi="宋体" w:eastAsia="宋体"/>
                <w:bCs/>
                <w:szCs w:val="21"/>
              </w:rPr>
              <w:t>100</w:t>
            </w:r>
          </w:p>
        </w:tc>
        <w:tc>
          <w:tcPr>
            <w:tcW w:w="850" w:type="dxa"/>
            <w:tcBorders>
              <w:top w:val="single" w:color="auto" w:sz="4" w:space="0"/>
              <w:left w:val="single" w:color="auto" w:sz="4" w:space="0"/>
              <w:bottom w:val="single" w:color="auto" w:sz="4" w:space="0"/>
              <w:right w:val="single" w:color="auto" w:sz="4" w:space="0"/>
            </w:tcBorders>
          </w:tcPr>
          <w:p w14:paraId="05D547AE">
            <w:pPr>
              <w:rPr>
                <w:rFonts w:hint="eastAsia" w:ascii="宋体" w:hAnsi="宋体" w:eastAsia="宋体"/>
                <w:bCs/>
                <w:szCs w:val="21"/>
              </w:rPr>
            </w:pPr>
          </w:p>
        </w:tc>
      </w:tr>
    </w:tbl>
    <w:p w14:paraId="60F493D5">
      <w:pPr>
        <w:rPr>
          <w:rFonts w:hint="eastAsia" w:ascii="宋体" w:hAnsi="宋体" w:eastAsia="宋体"/>
          <w:b/>
          <w:bCs/>
          <w:sz w:val="28"/>
          <w:szCs w:val="28"/>
        </w:rPr>
      </w:pPr>
      <w:r>
        <w:rPr>
          <w:rFonts w:hint="eastAsia" w:ascii="宋体" w:hAnsi="宋体" w:eastAsia="宋体"/>
          <w:b/>
          <w:bCs/>
          <w:sz w:val="28"/>
          <w:szCs w:val="28"/>
        </w:rPr>
        <w:t xml:space="preserve"> </w:t>
      </w:r>
    </w:p>
    <w:p w14:paraId="658B703C">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53275"/>
    <w:rsid w:val="00407F9E"/>
    <w:rsid w:val="00572BDE"/>
    <w:rsid w:val="00664863"/>
    <w:rsid w:val="00790020"/>
    <w:rsid w:val="007A1638"/>
    <w:rsid w:val="00923A09"/>
    <w:rsid w:val="00985077"/>
    <w:rsid w:val="009872DA"/>
    <w:rsid w:val="009D70E0"/>
    <w:rsid w:val="00AC7E4B"/>
    <w:rsid w:val="00B37160"/>
    <w:rsid w:val="00C04055"/>
    <w:rsid w:val="00C81323"/>
    <w:rsid w:val="00F8237C"/>
    <w:rsid w:val="016E3D1C"/>
    <w:rsid w:val="08302D9C"/>
    <w:rsid w:val="0B692917"/>
    <w:rsid w:val="14E06028"/>
    <w:rsid w:val="16B8230E"/>
    <w:rsid w:val="4C6B3D45"/>
    <w:rsid w:val="514A6B91"/>
    <w:rsid w:val="5FB807AA"/>
    <w:rsid w:val="69DF56F0"/>
    <w:rsid w:val="6A9F6350"/>
    <w:rsid w:val="6F064FDF"/>
    <w:rsid w:val="74202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1603</Words>
  <Characters>1625</Characters>
  <Lines>98</Lines>
  <Paragraphs>92</Paragraphs>
  <TotalTime>0</TotalTime>
  <ScaleCrop>false</ScaleCrop>
  <LinksUpToDate>false</LinksUpToDate>
  <CharactersWithSpaces>1628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2025-05-02T04:54:00Z</dcterms:created>
  <dc:creator>航 吴</dc:creator>
  <cp:lastModifiedBy>吴航</cp:lastModifiedBy>
  <dcterms:modified xsi:type="dcterms:W3CDTF">2025-06-03T01:21:54Z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288EE57C24914BCE8D0E333C4CD91741_12</vt:lpwstr>
  </property>
</Properties>
</file>