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D58EF" w14:textId="0E9C6B3F" w:rsidR="00CA2042" w:rsidRDefault="0058149B">
      <w:pPr>
        <w:spacing w:line="224" w:lineRule="auto"/>
        <w:jc w:val="center"/>
        <w:rPr>
          <w:rFonts w:ascii="黑体" w:eastAsia="黑体" w:hAnsi="黑体" w:cs="黑体" w:hint="eastAsia"/>
          <w:sz w:val="20"/>
          <w:szCs w:val="20"/>
        </w:rPr>
      </w:pPr>
      <w:r w:rsidRPr="0058149B">
        <w:rPr>
          <w:rFonts w:ascii="黑体" w:eastAsia="黑体" w:hAnsi="黑体" w:cs="黑体" w:hint="eastAsia"/>
          <w:b/>
          <w:bCs/>
          <w:spacing w:val="8"/>
          <w:sz w:val="20"/>
          <w:szCs w:val="20"/>
        </w:rPr>
        <w:t>市政</w:t>
      </w:r>
      <w:r>
        <w:rPr>
          <w:rFonts w:ascii="黑体" w:eastAsia="黑体" w:hAnsi="黑体" w:cs="黑体"/>
          <w:b/>
          <w:bCs/>
          <w:spacing w:val="8"/>
          <w:sz w:val="20"/>
          <w:szCs w:val="20"/>
        </w:rPr>
        <w:t>表</w:t>
      </w:r>
      <w:r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</w:rPr>
        <w:t>B</w:t>
      </w:r>
      <w:r w:rsidR="00231B9B">
        <w:rPr>
          <w:rFonts w:ascii="Times New Roman" w:eastAsia="宋体" w:hAnsi="Times New Roman" w:cs="Times New Roman" w:hint="eastAsia"/>
          <w:b/>
          <w:bCs/>
          <w:spacing w:val="8"/>
          <w:sz w:val="20"/>
          <w:szCs w:val="20"/>
        </w:rPr>
        <w:t>17</w:t>
      </w:r>
      <w:r>
        <w:rPr>
          <w:rFonts w:ascii="Times New Roman" w:eastAsia="宋体" w:hAnsi="Times New Roman" w:cs="Times New Roman" w:hint="eastAsia"/>
          <w:b/>
          <w:bCs/>
          <w:spacing w:val="8"/>
          <w:sz w:val="20"/>
          <w:szCs w:val="20"/>
        </w:rPr>
        <w:t xml:space="preserve">  </w:t>
      </w:r>
      <w:r>
        <w:rPr>
          <w:rFonts w:ascii="黑体" w:eastAsia="黑体" w:hAnsi="黑体" w:cs="黑体"/>
          <w:b/>
          <w:bCs/>
          <w:spacing w:val="8"/>
          <w:sz w:val="20"/>
          <w:szCs w:val="20"/>
        </w:rPr>
        <w:t>盾构法隧道施工</w:t>
      </w:r>
      <w:r>
        <w:rPr>
          <w:rFonts w:ascii="黑体" w:eastAsia="黑体" w:hAnsi="黑体" w:cs="黑体" w:hint="eastAsia"/>
          <w:b/>
          <w:bCs/>
          <w:spacing w:val="8"/>
          <w:sz w:val="20"/>
          <w:szCs w:val="20"/>
        </w:rPr>
        <w:t>评价评分表</w:t>
      </w:r>
    </w:p>
    <w:p w14:paraId="5D4A70BB" w14:textId="77777777" w:rsidR="00CA2042" w:rsidRDefault="00CA2042">
      <w:pPr>
        <w:spacing w:line="120" w:lineRule="exact"/>
        <w:rPr>
          <w:rFonts w:hint="eastAsia"/>
        </w:rPr>
      </w:pPr>
    </w:p>
    <w:tbl>
      <w:tblPr>
        <w:tblStyle w:val="TableNormal"/>
        <w:tblW w:w="790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1032"/>
        <w:gridCol w:w="4783"/>
        <w:gridCol w:w="838"/>
        <w:gridCol w:w="766"/>
      </w:tblGrid>
      <w:tr w:rsidR="00CA2042" w14:paraId="1FF96C18" w14:textId="77777777">
        <w:trPr>
          <w:trHeight w:val="90"/>
          <w:jc w:val="center"/>
        </w:trPr>
        <w:tc>
          <w:tcPr>
            <w:tcW w:w="483" w:type="dxa"/>
            <w:shd w:val="clear" w:color="auto" w:fill="auto"/>
            <w:vAlign w:val="center"/>
          </w:tcPr>
          <w:p w14:paraId="0D0B6147" w14:textId="77777777" w:rsidR="00CA204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49E4F655" w14:textId="77777777" w:rsidR="00CA2042" w:rsidRDefault="00000000">
            <w:pPr>
              <w:pStyle w:val="TableText"/>
              <w:tabs>
                <w:tab w:val="left" w:pos="840"/>
              </w:tabs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评价指标</w:t>
            </w:r>
          </w:p>
        </w:tc>
        <w:tc>
          <w:tcPr>
            <w:tcW w:w="4783" w:type="dxa"/>
            <w:shd w:val="clear" w:color="auto" w:fill="auto"/>
            <w:vAlign w:val="center"/>
          </w:tcPr>
          <w:p w14:paraId="020F45F2" w14:textId="77777777" w:rsidR="00CA2042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jc w:val="center"/>
              <w:textAlignment w:val="auto"/>
              <w:rPr>
                <w:rFonts w:hint="eastAsia"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pacing w:val="-6"/>
                <w:sz w:val="21"/>
                <w:szCs w:val="21"/>
              </w:rPr>
              <w:t>标准</w:t>
            </w:r>
            <w:proofErr w:type="spellEnd"/>
            <w:r>
              <w:rPr>
                <w:rFonts w:hint="eastAsia"/>
                <w:spacing w:val="-6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EB5F905" w14:textId="77777777" w:rsidR="00CA2042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评价结果</w:t>
            </w:r>
          </w:p>
        </w:tc>
      </w:tr>
      <w:tr w:rsidR="00CA2042" w14:paraId="163C6BF3" w14:textId="77777777">
        <w:trPr>
          <w:trHeight w:val="444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14:paraId="30E129A2" w14:textId="77777777" w:rsidR="00CA204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2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14:paraId="6DD22519" w14:textId="77777777" w:rsidR="00CA2042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控制项</w:t>
            </w:r>
          </w:p>
        </w:tc>
        <w:tc>
          <w:tcPr>
            <w:tcW w:w="4783" w:type="dxa"/>
            <w:shd w:val="clear" w:color="auto" w:fill="auto"/>
            <w:vAlign w:val="center"/>
          </w:tcPr>
          <w:p w14:paraId="6983FFF2" w14:textId="77777777" w:rsidR="00CA2042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危险性较大分部分项工程按规定编制专项施工方案</w:t>
            </w:r>
          </w:p>
          <w:p w14:paraId="07E4A49F" w14:textId="77777777" w:rsidR="00CA2042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-6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超过一定规模的危大工程方案组织专家论证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001540E" w14:textId="77777777" w:rsidR="00CA2042" w:rsidRDefault="00000000">
            <w:pPr>
              <w:pStyle w:val="TableText"/>
              <w:spacing w:before="42" w:line="201" w:lineRule="auto"/>
              <w:ind w:left="40" w:right="22"/>
              <w:rPr>
                <w:rFonts w:hint="eastAsia"/>
                <w:spacing w:val="-6"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符合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proofErr w:type="spellStart"/>
            <w:r>
              <w:rPr>
                <w:rFonts w:hint="eastAsia"/>
                <w:sz w:val="21"/>
                <w:szCs w:val="21"/>
              </w:rPr>
              <w:t>不符合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eastAsia="zh-CN"/>
              </w:rPr>
              <w:br/>
            </w:r>
            <w:proofErr w:type="spellStart"/>
            <w:r>
              <w:rPr>
                <w:rFonts w:hint="eastAsia"/>
                <w:sz w:val="21"/>
                <w:szCs w:val="21"/>
              </w:rPr>
              <w:t>符合□不符合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</w:p>
        </w:tc>
      </w:tr>
      <w:tr w:rsidR="00CA2042" w14:paraId="295C06EE" w14:textId="77777777">
        <w:trPr>
          <w:trHeight w:val="422"/>
          <w:jc w:val="center"/>
        </w:trPr>
        <w:tc>
          <w:tcPr>
            <w:tcW w:w="483" w:type="dxa"/>
            <w:vMerge/>
            <w:vAlign w:val="center"/>
          </w:tcPr>
          <w:p w14:paraId="0C5B0129" w14:textId="77777777" w:rsidR="00CA2042" w:rsidRDefault="00CA2042">
            <w:pPr>
              <w:pStyle w:val="TableText"/>
              <w:spacing w:before="142" w:line="221" w:lineRule="auto"/>
              <w:ind w:left="44"/>
              <w:jc w:val="center"/>
              <w:rPr>
                <w:rFonts w:hint="eastAsia"/>
                <w:spacing w:val="-2"/>
                <w:sz w:val="21"/>
                <w:szCs w:val="21"/>
              </w:rPr>
            </w:pPr>
          </w:p>
        </w:tc>
        <w:tc>
          <w:tcPr>
            <w:tcW w:w="1032" w:type="dxa"/>
            <w:vMerge/>
            <w:vAlign w:val="center"/>
          </w:tcPr>
          <w:p w14:paraId="7A555CF3" w14:textId="77777777" w:rsidR="00CA2042" w:rsidRDefault="00CA2042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</w:p>
        </w:tc>
        <w:tc>
          <w:tcPr>
            <w:tcW w:w="4783" w:type="dxa"/>
            <w:shd w:val="clear" w:color="auto" w:fill="auto"/>
            <w:vAlign w:val="center"/>
          </w:tcPr>
          <w:p w14:paraId="0291CAF8" w14:textId="77777777" w:rsidR="00CA2042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按规定配备专职安全员；项目负责人、专职安全员应取得有效安全生产考核合格证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27851B8" w14:textId="77777777" w:rsidR="00CA2042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符合□不符合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</w:p>
        </w:tc>
      </w:tr>
      <w:tr w:rsidR="00CA2042" w14:paraId="279DC5D1" w14:textId="77777777">
        <w:trPr>
          <w:trHeight w:val="134"/>
          <w:jc w:val="center"/>
        </w:trPr>
        <w:tc>
          <w:tcPr>
            <w:tcW w:w="483" w:type="dxa"/>
            <w:vMerge/>
            <w:vAlign w:val="center"/>
          </w:tcPr>
          <w:p w14:paraId="6C56FBA7" w14:textId="77777777" w:rsidR="00CA2042" w:rsidRDefault="00CA2042">
            <w:pPr>
              <w:pStyle w:val="TableText"/>
              <w:spacing w:before="142" w:line="221" w:lineRule="auto"/>
              <w:ind w:left="44"/>
              <w:jc w:val="center"/>
              <w:rPr>
                <w:rFonts w:hint="eastAsia"/>
                <w:spacing w:val="-2"/>
                <w:sz w:val="21"/>
                <w:szCs w:val="21"/>
              </w:rPr>
            </w:pPr>
          </w:p>
        </w:tc>
        <w:tc>
          <w:tcPr>
            <w:tcW w:w="1032" w:type="dxa"/>
            <w:vMerge/>
            <w:vAlign w:val="center"/>
          </w:tcPr>
          <w:p w14:paraId="7DB1A61A" w14:textId="77777777" w:rsidR="00CA2042" w:rsidRDefault="00CA2042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</w:p>
        </w:tc>
        <w:tc>
          <w:tcPr>
            <w:tcW w:w="4783" w:type="dxa"/>
            <w:shd w:val="clear" w:color="auto" w:fill="auto"/>
            <w:vAlign w:val="center"/>
          </w:tcPr>
          <w:p w14:paraId="464B83A5" w14:textId="77777777" w:rsidR="00CA2042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盾构气压作业人员、特种作业人员应取得有效特种作业人员操作资格证书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CD1933D" w14:textId="77777777" w:rsidR="00CA2042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符合□不符合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</w:p>
        </w:tc>
      </w:tr>
      <w:tr w:rsidR="00CA2042" w14:paraId="7A917E70" w14:textId="77777777">
        <w:trPr>
          <w:trHeight w:val="134"/>
          <w:jc w:val="center"/>
        </w:trPr>
        <w:tc>
          <w:tcPr>
            <w:tcW w:w="483" w:type="dxa"/>
            <w:vMerge/>
            <w:vAlign w:val="center"/>
          </w:tcPr>
          <w:p w14:paraId="755DDCBB" w14:textId="77777777" w:rsidR="00CA2042" w:rsidRDefault="00CA2042">
            <w:pPr>
              <w:pStyle w:val="TableText"/>
              <w:spacing w:before="142" w:line="221" w:lineRule="auto"/>
              <w:ind w:left="44"/>
              <w:jc w:val="center"/>
              <w:rPr>
                <w:rFonts w:hint="eastAsia"/>
                <w:spacing w:val="-2"/>
                <w:sz w:val="21"/>
                <w:szCs w:val="21"/>
              </w:rPr>
            </w:pPr>
          </w:p>
        </w:tc>
        <w:tc>
          <w:tcPr>
            <w:tcW w:w="1032" w:type="dxa"/>
            <w:vMerge/>
            <w:vAlign w:val="center"/>
          </w:tcPr>
          <w:p w14:paraId="34611028" w14:textId="77777777" w:rsidR="00CA2042" w:rsidRDefault="00CA2042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</w:p>
        </w:tc>
        <w:tc>
          <w:tcPr>
            <w:tcW w:w="4783" w:type="dxa"/>
            <w:shd w:val="clear" w:color="auto" w:fill="auto"/>
            <w:vAlign w:val="center"/>
          </w:tcPr>
          <w:p w14:paraId="470FB808" w14:textId="77777777" w:rsidR="00CA2042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"/>
                <w:sz w:val="21"/>
                <w:szCs w:val="21"/>
                <w:lang w:eastAsia="zh-CN"/>
              </w:rPr>
              <w:t>按照方案施工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355F786" w14:textId="77777777" w:rsidR="00CA2042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符合□不符合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</w:p>
        </w:tc>
      </w:tr>
      <w:tr w:rsidR="00CA2042" w14:paraId="0ABA836D" w14:textId="77777777">
        <w:trPr>
          <w:trHeight w:val="209"/>
          <w:jc w:val="center"/>
        </w:trPr>
        <w:tc>
          <w:tcPr>
            <w:tcW w:w="483" w:type="dxa"/>
            <w:vAlign w:val="center"/>
          </w:tcPr>
          <w:p w14:paraId="36FEE700" w14:textId="77777777" w:rsidR="00CA2042" w:rsidRDefault="00000000">
            <w:pPr>
              <w:pStyle w:val="TableText"/>
              <w:jc w:val="center"/>
              <w:rPr>
                <w:rFonts w:hint="eastAsia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2"/>
                <w:sz w:val="21"/>
                <w:szCs w:val="21"/>
              </w:rPr>
              <w:t>序号</w:t>
            </w:r>
            <w:proofErr w:type="spellEnd"/>
          </w:p>
        </w:tc>
        <w:tc>
          <w:tcPr>
            <w:tcW w:w="1032" w:type="dxa"/>
            <w:vAlign w:val="center"/>
          </w:tcPr>
          <w:p w14:paraId="3427738D" w14:textId="77777777" w:rsidR="00CA2042" w:rsidRDefault="00000000">
            <w:pPr>
              <w:pStyle w:val="TableTex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评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分</w:t>
            </w:r>
            <w:r>
              <w:rPr>
                <w:rFonts w:hint="eastAsia"/>
                <w:spacing w:val="-25"/>
                <w:sz w:val="21"/>
                <w:szCs w:val="21"/>
              </w:rPr>
              <w:t>项</w:t>
            </w:r>
            <w:r>
              <w:rPr>
                <w:rFonts w:hint="eastAsia"/>
                <w:spacing w:val="-25"/>
                <w:sz w:val="21"/>
                <w:szCs w:val="21"/>
                <w:lang w:eastAsia="zh-CN"/>
              </w:rPr>
              <w:t xml:space="preserve"> 目</w:t>
            </w:r>
          </w:p>
        </w:tc>
        <w:tc>
          <w:tcPr>
            <w:tcW w:w="4783" w:type="dxa"/>
            <w:vAlign w:val="center"/>
          </w:tcPr>
          <w:p w14:paraId="5539FA63" w14:textId="77777777" w:rsidR="00CA2042" w:rsidRDefault="00000000">
            <w:pPr>
              <w:pStyle w:val="TableTex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  <w:lang w:eastAsia="zh-CN"/>
              </w:rPr>
              <w:t>扣</w:t>
            </w:r>
            <w:proofErr w:type="spellStart"/>
            <w:r>
              <w:rPr>
                <w:rFonts w:hint="eastAsia"/>
                <w:spacing w:val="-6"/>
                <w:sz w:val="21"/>
                <w:szCs w:val="21"/>
              </w:rPr>
              <w:t>分标准</w:t>
            </w:r>
            <w:proofErr w:type="spellEnd"/>
          </w:p>
        </w:tc>
        <w:tc>
          <w:tcPr>
            <w:tcW w:w="838" w:type="dxa"/>
            <w:vAlign w:val="center"/>
          </w:tcPr>
          <w:p w14:paraId="1E98B0E6" w14:textId="77777777" w:rsidR="00CA2042" w:rsidRDefault="00000000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应得分</w:t>
            </w:r>
          </w:p>
        </w:tc>
        <w:tc>
          <w:tcPr>
            <w:tcW w:w="766" w:type="dxa"/>
            <w:vAlign w:val="center"/>
          </w:tcPr>
          <w:p w14:paraId="41668FC0" w14:textId="77777777" w:rsidR="00CA2042" w:rsidRDefault="00000000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实得分</w:t>
            </w:r>
          </w:p>
        </w:tc>
      </w:tr>
      <w:tr w:rsidR="00CA2042" w14:paraId="7FA0028D" w14:textId="77777777">
        <w:trPr>
          <w:trHeight w:val="1233"/>
          <w:jc w:val="center"/>
        </w:trPr>
        <w:tc>
          <w:tcPr>
            <w:tcW w:w="483" w:type="dxa"/>
            <w:vAlign w:val="center"/>
          </w:tcPr>
          <w:p w14:paraId="2BC77E26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32" w:type="dxa"/>
            <w:vAlign w:val="center"/>
          </w:tcPr>
          <w:p w14:paraId="3A9E6B09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施工</w:t>
            </w:r>
            <w:proofErr w:type="spellEnd"/>
          </w:p>
          <w:p w14:paraId="0CE9B289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方案</w:t>
            </w:r>
            <w:proofErr w:type="spellEnd"/>
          </w:p>
        </w:tc>
        <w:tc>
          <w:tcPr>
            <w:tcW w:w="4783" w:type="dxa"/>
          </w:tcPr>
          <w:p w14:paraId="2C4BD3C7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施工方案未经施工企业技术负责人、总监理工程师签字、盖章，每项扣5分</w:t>
            </w:r>
          </w:p>
          <w:p w14:paraId="09CA36DD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未按设计编制、审批施工监测方案或必测项目不符合规范要求，扣10分</w:t>
            </w:r>
          </w:p>
          <w:p w14:paraId="723AB00B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未制定应急预案，扣10分</w:t>
            </w:r>
          </w:p>
          <w:p w14:paraId="259F07D0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未按照要求开展方案交底，每项扣5分</w:t>
            </w:r>
          </w:p>
        </w:tc>
        <w:tc>
          <w:tcPr>
            <w:tcW w:w="838" w:type="dxa"/>
          </w:tcPr>
          <w:p w14:paraId="7A641251" w14:textId="77777777" w:rsidR="00CA2042" w:rsidRDefault="00CA2042">
            <w:pPr>
              <w:spacing w:line="294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6508111F" w14:textId="77777777" w:rsidR="00CA2042" w:rsidRDefault="00CA2042">
            <w:pPr>
              <w:spacing w:line="294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46C16F17" w14:textId="77777777" w:rsidR="00CA2042" w:rsidRDefault="00CA2042">
            <w:pPr>
              <w:spacing w:line="295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72D4E09C" w14:textId="77777777" w:rsidR="00CA2042" w:rsidRDefault="00000000">
            <w:pPr>
              <w:pStyle w:val="TableText"/>
              <w:spacing w:before="56"/>
              <w:ind w:left="107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1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766" w:type="dxa"/>
          </w:tcPr>
          <w:p w14:paraId="16BDAC45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5336A46A" w14:textId="77777777">
        <w:trPr>
          <w:trHeight w:val="252"/>
          <w:jc w:val="center"/>
        </w:trPr>
        <w:tc>
          <w:tcPr>
            <w:tcW w:w="483" w:type="dxa"/>
            <w:vAlign w:val="center"/>
          </w:tcPr>
          <w:p w14:paraId="44256D5E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032" w:type="dxa"/>
            <w:vAlign w:val="center"/>
          </w:tcPr>
          <w:p w14:paraId="0737B915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始发</w:t>
            </w:r>
            <w:proofErr w:type="spellEnd"/>
            <w:r>
              <w:rPr>
                <w:rFonts w:hint="eastAsia"/>
                <w:spacing w:val="-3"/>
                <w:sz w:val="21"/>
                <w:szCs w:val="21"/>
              </w:rPr>
              <w:t>/</w:t>
            </w:r>
          </w:p>
          <w:p w14:paraId="39B0CA1A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接收</w:t>
            </w:r>
            <w:proofErr w:type="spellEnd"/>
          </w:p>
        </w:tc>
        <w:tc>
          <w:tcPr>
            <w:tcW w:w="4783" w:type="dxa"/>
          </w:tcPr>
          <w:p w14:paraId="5250FB2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</w:t>
            </w:r>
            <w:proofErr w:type="gramStart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按关键</w:t>
            </w:r>
            <w:proofErr w:type="gramEnd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节点条件验收管理规定进行始发或接收前的条件验收，扣10分</w:t>
            </w:r>
          </w:p>
          <w:p w14:paraId="5ED85018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未按图纸及专项方案进行端头加固，扣15分</w:t>
            </w:r>
          </w:p>
          <w:p w14:paraId="3206F708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盾构洞门未按设计要求</w:t>
            </w:r>
            <w:proofErr w:type="gramStart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制作洞圈</w:t>
            </w:r>
            <w:proofErr w:type="gramEnd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(钢环)和密封装置，扣5分</w:t>
            </w:r>
          </w:p>
          <w:p w14:paraId="5DF5B6C1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始发未按方案对负环管片采取限位固定措施或措施不到位，扣5分</w:t>
            </w:r>
          </w:p>
          <w:p w14:paraId="0B34D7AB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始发和接收前未按照要求将应急物资放置在洞门附近，扣5分</w:t>
            </w:r>
          </w:p>
          <w:p w14:paraId="71FB821B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反</w:t>
            </w:r>
            <w:proofErr w:type="gramStart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力架未按照</w:t>
            </w:r>
            <w:proofErr w:type="gramEnd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方案施工或未进行监测，扣10分</w:t>
            </w:r>
          </w:p>
          <w:p w14:paraId="47561163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未按照始发/接收方案的参数施工，扣15分</w:t>
            </w:r>
          </w:p>
          <w:p w14:paraId="6F0E2CE1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采用钢套筒始发/接收，未对钢套筒监测扣10分</w:t>
            </w:r>
          </w:p>
        </w:tc>
        <w:tc>
          <w:tcPr>
            <w:tcW w:w="838" w:type="dxa"/>
          </w:tcPr>
          <w:p w14:paraId="515C850B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  <w:p w14:paraId="114B8FF7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  <w:p w14:paraId="37301992" w14:textId="77777777" w:rsidR="00CA2042" w:rsidRDefault="00CA2042">
            <w:pPr>
              <w:spacing w:line="241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15FE278A" w14:textId="77777777" w:rsidR="00CA2042" w:rsidRDefault="00CA2042">
            <w:pPr>
              <w:spacing w:line="241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09006D71" w14:textId="77777777" w:rsidR="00CA2042" w:rsidRDefault="00CA2042">
            <w:pPr>
              <w:spacing w:line="241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5D3814D2" w14:textId="77777777" w:rsidR="00CA2042" w:rsidRDefault="00000000">
            <w:pPr>
              <w:pStyle w:val="TableText"/>
              <w:spacing w:before="56"/>
              <w:ind w:left="107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1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766" w:type="dxa"/>
          </w:tcPr>
          <w:p w14:paraId="162BB5BD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30817240" w14:textId="77777777">
        <w:trPr>
          <w:trHeight w:val="953"/>
          <w:jc w:val="center"/>
        </w:trPr>
        <w:tc>
          <w:tcPr>
            <w:tcW w:w="483" w:type="dxa"/>
            <w:vAlign w:val="center"/>
          </w:tcPr>
          <w:p w14:paraId="0C758690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32" w:type="dxa"/>
            <w:vAlign w:val="center"/>
          </w:tcPr>
          <w:p w14:paraId="799205F8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隧道</w:t>
            </w:r>
            <w:proofErr w:type="spellEnd"/>
          </w:p>
          <w:p w14:paraId="1E54662E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掘进</w:t>
            </w:r>
            <w:proofErr w:type="spellEnd"/>
          </w:p>
          <w:p w14:paraId="62B1E3D4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施工</w:t>
            </w:r>
            <w:proofErr w:type="spellEnd"/>
          </w:p>
        </w:tc>
        <w:tc>
          <w:tcPr>
            <w:tcW w:w="4783" w:type="dxa"/>
          </w:tcPr>
          <w:p w14:paraId="5AE8DC40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穿越既有地铁线、建(构)筑物和特殊地段前未对设备和刀具进行检查，不能满足连续掘进要求，扣5分</w:t>
            </w:r>
          </w:p>
          <w:p w14:paraId="3B74C9E1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长期停滞在地质软弱地层，未制定并采取防止沉降、坍塌、渗漏等措施，扣15分</w:t>
            </w:r>
          </w:p>
          <w:p w14:paraId="1779B7D5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设备未进行维修保养，扣5分</w:t>
            </w:r>
          </w:p>
        </w:tc>
        <w:tc>
          <w:tcPr>
            <w:tcW w:w="838" w:type="dxa"/>
          </w:tcPr>
          <w:p w14:paraId="37375B47" w14:textId="77777777" w:rsidR="00CA2042" w:rsidRDefault="00CA2042">
            <w:pPr>
              <w:spacing w:line="265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41401B13" w14:textId="77777777" w:rsidR="00CA2042" w:rsidRDefault="00CA2042">
            <w:pPr>
              <w:spacing w:line="266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3450C7A3" w14:textId="77777777" w:rsidR="00CA2042" w:rsidRDefault="00000000">
            <w:pPr>
              <w:pStyle w:val="TableText"/>
              <w:spacing w:before="55"/>
              <w:ind w:left="107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1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766" w:type="dxa"/>
          </w:tcPr>
          <w:p w14:paraId="118E8674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084A39AF" w14:textId="77777777">
        <w:trPr>
          <w:trHeight w:val="1993"/>
          <w:jc w:val="center"/>
        </w:trPr>
        <w:tc>
          <w:tcPr>
            <w:tcW w:w="483" w:type="dxa"/>
            <w:vAlign w:val="center"/>
          </w:tcPr>
          <w:p w14:paraId="31900717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32" w:type="dxa"/>
            <w:vAlign w:val="center"/>
          </w:tcPr>
          <w:p w14:paraId="0F4522BB" w14:textId="77777777" w:rsidR="00CA2042" w:rsidRDefault="00CA2042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</w:p>
          <w:p w14:paraId="6AC55112" w14:textId="77777777" w:rsidR="00CA2042" w:rsidRDefault="00CA2042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</w:p>
          <w:p w14:paraId="27D05CD8" w14:textId="77777777" w:rsidR="00CA2042" w:rsidRDefault="00CA2042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</w:p>
          <w:p w14:paraId="05863AB1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隧道运输施工</w:t>
            </w:r>
            <w:proofErr w:type="spellEnd"/>
          </w:p>
        </w:tc>
        <w:tc>
          <w:tcPr>
            <w:tcW w:w="4783" w:type="dxa"/>
          </w:tcPr>
          <w:p w14:paraId="7B74F9D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车辆停驶时未采取防溜车措施，扣5分</w:t>
            </w:r>
          </w:p>
          <w:p w14:paraId="3E9F9A2E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车辆安全、警示装置或动力、制定装置等未按规定进行检查和保养，扣10分</w:t>
            </w:r>
          </w:p>
          <w:p w14:paraId="19715203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车辆超速行驶或隧道内无限速标志，扣5分</w:t>
            </w:r>
          </w:p>
          <w:p w14:paraId="168B3547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运载物料的电机车搭载人，扣10分</w:t>
            </w:r>
          </w:p>
          <w:p w14:paraId="086D1BD6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车辆连接不可靠或无保险链，或超载、超限，扣3分</w:t>
            </w:r>
          </w:p>
          <w:p w14:paraId="3BD7D987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轨道端头无车挡，轨道连接板螺栓松动明显，轨道拉杆未按照方案设置，扣5分</w:t>
            </w:r>
          </w:p>
          <w:p w14:paraId="34EFAD54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无联络信号或联络信号不合理、不准确，扣5分</w:t>
            </w:r>
          </w:p>
          <w:p w14:paraId="60ECF864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电机车无后视系统或后视系统失效，扣5分</w:t>
            </w:r>
          </w:p>
        </w:tc>
        <w:tc>
          <w:tcPr>
            <w:tcW w:w="838" w:type="dxa"/>
          </w:tcPr>
          <w:p w14:paraId="6F7902E7" w14:textId="77777777" w:rsidR="00CA2042" w:rsidRDefault="00CA2042">
            <w:pPr>
              <w:spacing w:line="277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77CDD9E2" w14:textId="77777777" w:rsidR="00CA2042" w:rsidRDefault="00CA2042">
            <w:pPr>
              <w:spacing w:line="277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1DD64863" w14:textId="77777777" w:rsidR="00CA2042" w:rsidRDefault="00CA2042">
            <w:pPr>
              <w:spacing w:line="277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5F649935" w14:textId="77777777" w:rsidR="00CA2042" w:rsidRDefault="00CA2042">
            <w:pPr>
              <w:spacing w:line="278" w:lineRule="auto"/>
              <w:rPr>
                <w:rFonts w:ascii="宋体" w:eastAsia="宋体" w:hAnsi="宋体" w:cs="宋体" w:hint="eastAsia"/>
                <w:szCs w:val="21"/>
              </w:rPr>
            </w:pPr>
          </w:p>
          <w:p w14:paraId="23EBA527" w14:textId="77777777" w:rsidR="00CA2042" w:rsidRDefault="00000000">
            <w:pPr>
              <w:pStyle w:val="TableText"/>
              <w:spacing w:before="55"/>
              <w:ind w:left="107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10</w:t>
            </w:r>
          </w:p>
        </w:tc>
        <w:tc>
          <w:tcPr>
            <w:tcW w:w="766" w:type="dxa"/>
          </w:tcPr>
          <w:p w14:paraId="1953092E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5A0C980C" w14:textId="77777777">
        <w:trPr>
          <w:trHeight w:val="404"/>
          <w:jc w:val="center"/>
        </w:trPr>
        <w:tc>
          <w:tcPr>
            <w:tcW w:w="483" w:type="dxa"/>
            <w:vAlign w:val="center"/>
          </w:tcPr>
          <w:p w14:paraId="5CB77456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32" w:type="dxa"/>
            <w:vAlign w:val="center"/>
          </w:tcPr>
          <w:p w14:paraId="096D06E4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开仓</w:t>
            </w:r>
            <w:proofErr w:type="spellEnd"/>
          </w:p>
          <w:p w14:paraId="45C18CEF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与刀</w:t>
            </w:r>
            <w:proofErr w:type="spellEnd"/>
          </w:p>
          <w:p w14:paraId="4651FCBA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具更换</w:t>
            </w:r>
            <w:proofErr w:type="spellEnd"/>
          </w:p>
        </w:tc>
        <w:tc>
          <w:tcPr>
            <w:tcW w:w="4783" w:type="dxa"/>
          </w:tcPr>
          <w:p w14:paraId="3416F825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未制定开仓操作规程，或作业人员违规操作，扣5分</w:t>
            </w:r>
          </w:p>
          <w:p w14:paraId="047F2BF4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开仓未进行条件验收和开仓审批，扣5分</w:t>
            </w:r>
          </w:p>
          <w:p w14:paraId="739A493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未经气体检测合格即进仓作业，扣5分</w:t>
            </w:r>
          </w:p>
          <w:p w14:paraId="53D00A3F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常压开仓过程中未安排专人观察土仓内掌子面地质情况，扣5分</w:t>
            </w:r>
          </w:p>
          <w:p w14:paraId="38568A39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盾构气压作业前未对作业人员、控制室内气压或闸门管理员进行专门培训、教育、安全技术交底，扣2分</w:t>
            </w:r>
          </w:p>
          <w:p w14:paraId="1240EC96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盾构气压环境内有易燃易爆物品，扣10分</w:t>
            </w:r>
          </w:p>
          <w:p w14:paraId="0FE6CCB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lastRenderedPageBreak/>
              <w:t>气压作业用电未使用安全电压，或照明灯具无防爆措施，扣5分</w:t>
            </w:r>
          </w:p>
          <w:p w14:paraId="6F8BB365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盾构气压作业未采取两种不同动力空压机保证不间断供气，扣5分</w:t>
            </w:r>
          </w:p>
          <w:p w14:paraId="2EC17E7F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作业人员气压作业时间或加、减压时间不符</w:t>
            </w:r>
            <w:proofErr w:type="gramStart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合带</w:t>
            </w:r>
            <w:proofErr w:type="gramEnd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压进仓作业规范规定，扣2分</w:t>
            </w:r>
          </w:p>
          <w:p w14:paraId="551115D0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气压作业区与常压作业区之间扣3分</w:t>
            </w:r>
          </w:p>
          <w:p w14:paraId="2EE6A0BD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开仓前未按照要求配备应急物资，扣3分</w:t>
            </w:r>
          </w:p>
        </w:tc>
        <w:tc>
          <w:tcPr>
            <w:tcW w:w="838" w:type="dxa"/>
          </w:tcPr>
          <w:p w14:paraId="4CE9D633" w14:textId="77777777" w:rsidR="00CA2042" w:rsidRDefault="00CA2042">
            <w:pPr>
              <w:pStyle w:val="TableText"/>
              <w:spacing w:before="55"/>
              <w:ind w:left="107"/>
              <w:rPr>
                <w:rFonts w:hint="eastAsia"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766" w:type="dxa"/>
          </w:tcPr>
          <w:p w14:paraId="68C51031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707826D9" w14:textId="77777777">
        <w:trPr>
          <w:trHeight w:val="1993"/>
          <w:jc w:val="center"/>
        </w:trPr>
        <w:tc>
          <w:tcPr>
            <w:tcW w:w="483" w:type="dxa"/>
            <w:vAlign w:val="center"/>
          </w:tcPr>
          <w:p w14:paraId="64FBD503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032" w:type="dxa"/>
            <w:vAlign w:val="center"/>
          </w:tcPr>
          <w:p w14:paraId="04A87BC3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洞门及联络通</w:t>
            </w:r>
            <w:proofErr w:type="spellEnd"/>
          </w:p>
          <w:p w14:paraId="48961390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道施工</w:t>
            </w:r>
            <w:proofErr w:type="spellEnd"/>
          </w:p>
        </w:tc>
        <w:tc>
          <w:tcPr>
            <w:tcW w:w="4783" w:type="dxa"/>
          </w:tcPr>
          <w:p w14:paraId="297F1A66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未按关键节点条件验收规定进行条件验收，扣10分</w:t>
            </w:r>
          </w:p>
          <w:p w14:paraId="3FCD52E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联络通道管片拆除前未进行地质条件探测，扣10分</w:t>
            </w:r>
          </w:p>
          <w:p w14:paraId="592A4E13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现场未按应急预案准备应急物资，扣5分</w:t>
            </w:r>
          </w:p>
          <w:p w14:paraId="68CE0C02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proofErr w:type="gramStart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负环及</w:t>
            </w:r>
            <w:proofErr w:type="gramEnd"/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洞门、联络通道管片拆除现场未设立专人安全管理，扣5分</w:t>
            </w:r>
          </w:p>
          <w:p w14:paraId="2EC2B6CE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负环及洞门、联络通道管片拆除未按方案施工扣3分</w:t>
            </w:r>
          </w:p>
          <w:p w14:paraId="739D1F71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联络通道施工前后一定范围内管片未按方案进行支撑保护，扣5分</w:t>
            </w:r>
          </w:p>
          <w:p w14:paraId="705BA9D9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洞门或联络通道管片拆除后，未及时封闭，出现渗漏、掉渣等，扣5分</w:t>
            </w:r>
          </w:p>
        </w:tc>
        <w:tc>
          <w:tcPr>
            <w:tcW w:w="838" w:type="dxa"/>
          </w:tcPr>
          <w:p w14:paraId="3401CA5C" w14:textId="77777777" w:rsidR="00CA2042" w:rsidRDefault="00CA2042">
            <w:pPr>
              <w:pStyle w:val="TableText"/>
              <w:spacing w:before="55"/>
              <w:ind w:left="107"/>
              <w:rPr>
                <w:rFonts w:hint="eastAsia"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766" w:type="dxa"/>
          </w:tcPr>
          <w:p w14:paraId="1C5BC96B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2F422B9D" w14:textId="77777777">
        <w:trPr>
          <w:trHeight w:val="1993"/>
          <w:jc w:val="center"/>
        </w:trPr>
        <w:tc>
          <w:tcPr>
            <w:tcW w:w="483" w:type="dxa"/>
            <w:vAlign w:val="center"/>
          </w:tcPr>
          <w:p w14:paraId="678D6F6C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032" w:type="dxa"/>
            <w:vAlign w:val="center"/>
          </w:tcPr>
          <w:p w14:paraId="5BA85C31" w14:textId="77777777" w:rsidR="00CA2042" w:rsidRDefault="00000000">
            <w:pPr>
              <w:pStyle w:val="TableText"/>
              <w:spacing w:before="41" w:line="213" w:lineRule="auto"/>
              <w:ind w:left="50" w:right="25"/>
              <w:rPr>
                <w:rFonts w:hint="eastAsia"/>
                <w:spacing w:val="-3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管片堆放与管片拼装</w:t>
            </w:r>
            <w:proofErr w:type="spellEnd"/>
          </w:p>
        </w:tc>
        <w:tc>
          <w:tcPr>
            <w:tcW w:w="4783" w:type="dxa"/>
          </w:tcPr>
          <w:p w14:paraId="31BC2FF4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管片堆放超高或堆放纵横间距不符合要求的，扣3分</w:t>
            </w:r>
          </w:p>
          <w:p w14:paraId="10EF8CFB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拼装机旋转范围有人或障碍物的，拼装区域无警示标志，扣3分</w:t>
            </w:r>
          </w:p>
          <w:p w14:paraId="4960AD97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管片吊运、拼装过程中连接不牢或无防滑脱装置的，扣2分</w:t>
            </w:r>
          </w:p>
          <w:p w14:paraId="22DF32DB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管片吊装头未按规范进行更换，扣5分</w:t>
            </w:r>
          </w:p>
          <w:p w14:paraId="733574E6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举重臂与管片连接未使用专用连接销子扣2分</w:t>
            </w:r>
          </w:p>
          <w:p w14:paraId="602BD1CA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管片翻转、吊运、拼装设备无定期保养记录，扣5分</w:t>
            </w:r>
          </w:p>
        </w:tc>
        <w:tc>
          <w:tcPr>
            <w:tcW w:w="838" w:type="dxa"/>
          </w:tcPr>
          <w:p w14:paraId="7FD52714" w14:textId="77777777" w:rsidR="00CA2042" w:rsidRDefault="00CA2042">
            <w:pPr>
              <w:pStyle w:val="TableText"/>
              <w:spacing w:before="55"/>
              <w:ind w:left="107"/>
              <w:rPr>
                <w:rFonts w:hint="eastAsia"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766" w:type="dxa"/>
          </w:tcPr>
          <w:p w14:paraId="5789D2E3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00F1CD75" w14:textId="77777777">
        <w:trPr>
          <w:trHeight w:val="1993"/>
          <w:jc w:val="center"/>
        </w:trPr>
        <w:tc>
          <w:tcPr>
            <w:tcW w:w="483" w:type="dxa"/>
            <w:vAlign w:val="center"/>
          </w:tcPr>
          <w:p w14:paraId="7BD4AC10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032" w:type="dxa"/>
            <w:vAlign w:val="center"/>
          </w:tcPr>
          <w:p w14:paraId="0515E689" w14:textId="77777777" w:rsidR="00CA2042" w:rsidRDefault="00000000">
            <w:pPr>
              <w:pStyle w:val="TableText"/>
              <w:spacing w:before="58" w:line="215" w:lineRule="auto"/>
              <w:ind w:left="31"/>
              <w:jc w:val="both"/>
              <w:rPr>
                <w:rFonts w:hint="eastAsia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安全</w:t>
            </w:r>
            <w:r>
              <w:rPr>
                <w:rFonts w:hint="eastAsia"/>
                <w:spacing w:val="6"/>
                <w:sz w:val="21"/>
                <w:szCs w:val="21"/>
              </w:rPr>
              <w:t>防护</w:t>
            </w:r>
            <w:proofErr w:type="spellEnd"/>
          </w:p>
          <w:p w14:paraId="45205498" w14:textId="77777777" w:rsidR="00CA2042" w:rsidRDefault="00000000">
            <w:pPr>
              <w:pStyle w:val="TableText"/>
              <w:spacing w:line="220" w:lineRule="auto"/>
              <w:ind w:left="31"/>
              <w:jc w:val="both"/>
              <w:rPr>
                <w:rFonts w:hint="eastAsia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3"/>
                <w:sz w:val="21"/>
                <w:szCs w:val="21"/>
              </w:rPr>
              <w:t>与保</w:t>
            </w:r>
            <w:r>
              <w:rPr>
                <w:rFonts w:hint="eastAsia"/>
                <w:spacing w:val="-2"/>
                <w:sz w:val="21"/>
                <w:szCs w:val="21"/>
              </w:rPr>
              <w:t>护措</w:t>
            </w:r>
            <w:proofErr w:type="spellEnd"/>
          </w:p>
          <w:p w14:paraId="0ACABE57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pacing w:val="-3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施</w:t>
            </w:r>
          </w:p>
        </w:tc>
        <w:tc>
          <w:tcPr>
            <w:tcW w:w="4783" w:type="dxa"/>
          </w:tcPr>
          <w:p w14:paraId="00BD828D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未按规定进行机械通风或(风管破损、漏风，吊挂不平直)新鲜风量不足，5分</w:t>
            </w:r>
          </w:p>
          <w:p w14:paraId="174E0D1F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无有害气体检测装置或未定期进行气体检测，扣5分</w:t>
            </w:r>
          </w:p>
          <w:p w14:paraId="43929999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遇到特殊地层如瓦斯或其它有毒有害气体超限时，未采取有效处理措施，扣10分</w:t>
            </w:r>
          </w:p>
          <w:p w14:paraId="2A6BDAE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未按规定设置警示、排水及消防器材，扣5分</w:t>
            </w:r>
          </w:p>
          <w:p w14:paraId="14FFFF6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压力软管耐压强度不满足设计要求，布置于作业区及人行道范围的压力软管未采取防脱限位措施，扣2分</w:t>
            </w:r>
          </w:p>
          <w:p w14:paraId="1006D14D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光线不足或未设置足够照明，扣2分；照明未采用36V及以下安全电压，扣5分</w:t>
            </w:r>
          </w:p>
          <w:p w14:paraId="0C03DD99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未采取人车分行措施，扣5分</w:t>
            </w:r>
          </w:p>
          <w:p w14:paraId="0944467F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通道不畅通或防护措施设置不规范，扣5分</w:t>
            </w:r>
          </w:p>
          <w:p w14:paraId="47D02C75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未按规定设置不少于两种有效联络通信方式扣10分</w:t>
            </w:r>
          </w:p>
        </w:tc>
        <w:tc>
          <w:tcPr>
            <w:tcW w:w="838" w:type="dxa"/>
          </w:tcPr>
          <w:p w14:paraId="66D30E00" w14:textId="77777777" w:rsidR="00CA2042" w:rsidRDefault="00CA2042">
            <w:pPr>
              <w:pStyle w:val="TableText"/>
              <w:spacing w:before="55"/>
              <w:ind w:left="107"/>
              <w:rPr>
                <w:rFonts w:hint="eastAsia"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766" w:type="dxa"/>
          </w:tcPr>
          <w:p w14:paraId="1F199BF3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0C80C8B4" w14:textId="77777777">
        <w:trPr>
          <w:trHeight w:val="1993"/>
          <w:jc w:val="center"/>
        </w:trPr>
        <w:tc>
          <w:tcPr>
            <w:tcW w:w="483" w:type="dxa"/>
            <w:vAlign w:val="center"/>
          </w:tcPr>
          <w:p w14:paraId="57079584" w14:textId="77777777" w:rsidR="00CA2042" w:rsidRDefault="00000000">
            <w:pPr>
              <w:pStyle w:val="TableText"/>
              <w:tabs>
                <w:tab w:val="left" w:pos="0"/>
              </w:tabs>
              <w:spacing w:before="55" w:line="241" w:lineRule="auto"/>
              <w:ind w:left="1079" w:hangingChars="514" w:hanging="1079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032" w:type="dxa"/>
            <w:vAlign w:val="center"/>
          </w:tcPr>
          <w:p w14:paraId="720B572C" w14:textId="77777777" w:rsidR="00CA2042" w:rsidRDefault="00000000">
            <w:pPr>
              <w:pStyle w:val="TableText"/>
              <w:spacing w:before="41" w:line="213" w:lineRule="auto"/>
              <w:ind w:left="50" w:right="25"/>
              <w:rPr>
                <w:rFonts w:hint="eastAsia"/>
                <w:sz w:val="21"/>
                <w:szCs w:val="21"/>
              </w:rPr>
            </w:pPr>
            <w:proofErr w:type="spellStart"/>
            <w:r>
              <w:rPr>
                <w:rFonts w:hint="eastAsia"/>
                <w:spacing w:val="-4"/>
                <w:sz w:val="21"/>
                <w:szCs w:val="21"/>
              </w:rPr>
              <w:t>施工</w:t>
            </w:r>
            <w:r>
              <w:rPr>
                <w:rFonts w:hint="eastAsia"/>
                <w:spacing w:val="7"/>
                <w:sz w:val="21"/>
                <w:szCs w:val="21"/>
              </w:rPr>
              <w:t>监测</w:t>
            </w:r>
            <w:proofErr w:type="spellEnd"/>
          </w:p>
        </w:tc>
        <w:tc>
          <w:tcPr>
            <w:tcW w:w="4783" w:type="dxa"/>
          </w:tcPr>
          <w:p w14:paraId="74766170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未按监测方案进行项目监测，扣10分</w:t>
            </w:r>
          </w:p>
          <w:p w14:paraId="75BA7423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穿越既有重要建(构)筑物、既有交通线路、湖泊、河流等特殊地段未按照专项方案进行监测，扣10分</w:t>
            </w:r>
          </w:p>
          <w:p w14:paraId="0816A321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监测点设置或监测频率不符合监测方案，扣5分</w:t>
            </w:r>
          </w:p>
          <w:p w14:paraId="03C3F5DC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未按设计及工程情况及时处理监测数据并反馈、指导施工，扣5分</w:t>
            </w:r>
          </w:p>
          <w:p w14:paraId="233E4C66" w14:textId="77777777" w:rsidR="00CA2042" w:rsidRDefault="00000000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未按规定要求进行盾构机通过后地层空洞隐患探测，每处扣5分</w:t>
            </w:r>
          </w:p>
        </w:tc>
        <w:tc>
          <w:tcPr>
            <w:tcW w:w="838" w:type="dxa"/>
          </w:tcPr>
          <w:p w14:paraId="3AF74529" w14:textId="77777777" w:rsidR="00CA2042" w:rsidRDefault="00CA2042">
            <w:pPr>
              <w:pStyle w:val="TableText"/>
              <w:spacing w:before="55"/>
              <w:ind w:left="107"/>
              <w:rPr>
                <w:rFonts w:hint="eastAsia"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766" w:type="dxa"/>
          </w:tcPr>
          <w:p w14:paraId="655374B4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CA2042" w14:paraId="6CA9B180" w14:textId="77777777">
        <w:trPr>
          <w:trHeight w:val="643"/>
          <w:jc w:val="center"/>
        </w:trPr>
        <w:tc>
          <w:tcPr>
            <w:tcW w:w="1515" w:type="dxa"/>
            <w:gridSpan w:val="2"/>
            <w:vAlign w:val="center"/>
          </w:tcPr>
          <w:p w14:paraId="2408CECD" w14:textId="77777777" w:rsidR="00CA2042" w:rsidRDefault="00000000">
            <w:pPr>
              <w:pStyle w:val="TableText"/>
              <w:spacing w:before="41" w:line="213" w:lineRule="auto"/>
              <w:ind w:left="50" w:right="25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评价项目合计</w:t>
            </w:r>
          </w:p>
        </w:tc>
        <w:tc>
          <w:tcPr>
            <w:tcW w:w="4783" w:type="dxa"/>
          </w:tcPr>
          <w:p w14:paraId="358A9C81" w14:textId="77777777" w:rsidR="00CA2042" w:rsidRDefault="00CA2042">
            <w:pPr>
              <w:pStyle w:val="TableText"/>
              <w:spacing w:line="219" w:lineRule="auto"/>
              <w:ind w:left="60" w:right="14"/>
              <w:rPr>
                <w:rFonts w:hint="eastAsia"/>
                <w:spacing w:val="-1"/>
                <w:sz w:val="21"/>
                <w:szCs w:val="21"/>
              </w:rPr>
            </w:pPr>
          </w:p>
        </w:tc>
        <w:tc>
          <w:tcPr>
            <w:tcW w:w="838" w:type="dxa"/>
          </w:tcPr>
          <w:p w14:paraId="57FD829B" w14:textId="77777777" w:rsidR="00CA2042" w:rsidRDefault="00000000">
            <w:pPr>
              <w:pStyle w:val="TableText"/>
              <w:spacing w:before="55"/>
              <w:ind w:left="107"/>
              <w:rPr>
                <w:rFonts w:hint="eastAsia"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766" w:type="dxa"/>
          </w:tcPr>
          <w:p w14:paraId="7210341E" w14:textId="77777777" w:rsidR="00CA2042" w:rsidRDefault="00CA2042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</w:tbl>
    <w:p w14:paraId="212BA6CF" w14:textId="77777777" w:rsidR="00CA2042" w:rsidRDefault="00CA2042">
      <w:pPr>
        <w:rPr>
          <w:rFonts w:hint="eastAsia"/>
        </w:rPr>
      </w:pPr>
    </w:p>
    <w:sectPr w:rsidR="00CA2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AFDD" w14:textId="77777777" w:rsidR="006E759D" w:rsidRDefault="006E759D" w:rsidP="0058149B">
      <w:pPr>
        <w:rPr>
          <w:rFonts w:hint="eastAsia"/>
        </w:rPr>
      </w:pPr>
      <w:r>
        <w:separator/>
      </w:r>
    </w:p>
  </w:endnote>
  <w:endnote w:type="continuationSeparator" w:id="0">
    <w:p w14:paraId="5D2364F2" w14:textId="77777777" w:rsidR="006E759D" w:rsidRDefault="006E759D" w:rsidP="005814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55BBF" w14:textId="77777777" w:rsidR="006E759D" w:rsidRDefault="006E759D" w:rsidP="0058149B">
      <w:pPr>
        <w:rPr>
          <w:rFonts w:hint="eastAsia"/>
        </w:rPr>
      </w:pPr>
      <w:r>
        <w:separator/>
      </w:r>
    </w:p>
  </w:footnote>
  <w:footnote w:type="continuationSeparator" w:id="0">
    <w:p w14:paraId="1F4AEDD9" w14:textId="77777777" w:rsidR="006E759D" w:rsidRDefault="006E759D" w:rsidP="0058149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231B9B"/>
    <w:rsid w:val="002B3986"/>
    <w:rsid w:val="0058149B"/>
    <w:rsid w:val="006E759D"/>
    <w:rsid w:val="00790020"/>
    <w:rsid w:val="00AC7E4B"/>
    <w:rsid w:val="00C04055"/>
    <w:rsid w:val="00CA2042"/>
    <w:rsid w:val="00DE333D"/>
    <w:rsid w:val="00F65DCE"/>
    <w:rsid w:val="085A4E94"/>
    <w:rsid w:val="11E85E6F"/>
    <w:rsid w:val="162D35F1"/>
    <w:rsid w:val="16FA16C0"/>
    <w:rsid w:val="186F66A1"/>
    <w:rsid w:val="22AD519E"/>
    <w:rsid w:val="24BF6A58"/>
    <w:rsid w:val="2FBF7DE5"/>
    <w:rsid w:val="401670AE"/>
    <w:rsid w:val="46C50728"/>
    <w:rsid w:val="4CBC7AAB"/>
    <w:rsid w:val="5000564D"/>
    <w:rsid w:val="52050633"/>
    <w:rsid w:val="796E4346"/>
    <w:rsid w:val="7A79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6DC97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18"/>
      <w:szCs w:val="18"/>
      <w:lang w:eastAsia="en-US"/>
    </w:rPr>
  </w:style>
  <w:style w:type="paragraph" w:customStyle="1" w:styleId="ad">
    <w:name w:val="表格文字"/>
    <w:basedOn w:val="a"/>
    <w:qFormat/>
    <w:pPr>
      <w:widowControl/>
      <w:jc w:val="center"/>
    </w:pPr>
    <w:rPr>
      <w:rFonts w:ascii="Times New Roman" w:eastAsia="宋体" w:hAnsi="Times New Roman" w:cs="宋体"/>
      <w:bCs/>
      <w:color w:val="000000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/>
      <w:color w:val="000000"/>
      <w:sz w:val="34"/>
      <w:szCs w:val="34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5814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8149B"/>
    <w:rPr>
      <w:kern w:val="2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814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814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1002</Words>
  <Characters>1013</Characters>
  <Application>Microsoft Office Word</Application>
  <DocSecurity>0</DocSecurity>
  <Lines>112</Lines>
  <Paragraphs>125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吴航</cp:lastModifiedBy>
  <cp:revision>3</cp:revision>
  <dcterms:created xsi:type="dcterms:W3CDTF">2025-05-02T02:35:00Z</dcterms:created>
  <dcterms:modified xsi:type="dcterms:W3CDTF">2025-05-16T07:44:00Z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864B65E0E11344E2A1DDE8937A9C5E05_13</vt:lpwstr>
  </property>
</Properties>
</file>