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E6988" w14:textId="6C77DCDF" w:rsidR="00844092" w:rsidRDefault="004934BE">
      <w:pPr>
        <w:pStyle w:val="2"/>
        <w:jc w:val="center"/>
        <w:rPr>
          <w:rFonts w:ascii="宋体" w:eastAsia="宋体" w:hAnsi="宋体" w:cs="宋体" w:hint="eastAsia"/>
          <w:b/>
          <w:color w:val="auto"/>
          <w:sz w:val="28"/>
          <w:szCs w:val="28"/>
        </w:rPr>
      </w:pPr>
      <w:bookmarkStart w:id="0" w:name="_Toc17254"/>
      <w:bookmarkStart w:id="1" w:name="_Toc8724"/>
      <w:bookmarkStart w:id="2" w:name="_Toc22448"/>
      <w:r w:rsidRPr="004934BE">
        <w:rPr>
          <w:rFonts w:ascii="宋体" w:eastAsia="宋体" w:hAnsi="宋体" w:cs="宋体" w:hint="eastAsia"/>
          <w:b/>
          <w:color w:val="auto"/>
          <w:sz w:val="28"/>
          <w:szCs w:val="28"/>
        </w:rPr>
        <w:t>市政</w:t>
      </w:r>
      <w:r>
        <w:rPr>
          <w:rFonts w:ascii="宋体" w:eastAsia="宋体" w:hAnsi="宋体" w:cs="宋体" w:hint="eastAsia"/>
          <w:b/>
          <w:color w:val="auto"/>
          <w:sz w:val="28"/>
          <w:szCs w:val="28"/>
        </w:rPr>
        <w:t>表B1</w:t>
      </w:r>
      <w:r w:rsidR="004433E5">
        <w:rPr>
          <w:rFonts w:ascii="宋体" w:eastAsia="宋体" w:hAnsi="宋体" w:cs="宋体" w:hint="eastAsia"/>
          <w:b/>
          <w:color w:val="auto"/>
          <w:sz w:val="28"/>
          <w:szCs w:val="28"/>
        </w:rPr>
        <w:t>4</w:t>
      </w:r>
      <w:r>
        <w:rPr>
          <w:rFonts w:ascii="宋体" w:eastAsia="宋体" w:hAnsi="宋体" w:cs="宋体" w:hint="eastAsia"/>
          <w:b/>
          <w:color w:val="auto"/>
          <w:sz w:val="28"/>
          <w:szCs w:val="28"/>
        </w:rPr>
        <w:t xml:space="preserve">  悬臂施工挂篮评价评分表</w:t>
      </w:r>
      <w:bookmarkEnd w:id="0"/>
      <w:bookmarkEnd w:id="1"/>
      <w:bookmarkEnd w:id="2"/>
    </w:p>
    <w:tbl>
      <w:tblPr>
        <w:tblW w:w="90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1029"/>
        <w:gridCol w:w="5793"/>
        <w:gridCol w:w="802"/>
        <w:gridCol w:w="735"/>
      </w:tblGrid>
      <w:tr w:rsidR="00844092" w14:paraId="7B565911" w14:textId="77777777">
        <w:trPr>
          <w:trHeight w:val="231"/>
          <w:jc w:val="center"/>
        </w:trPr>
        <w:tc>
          <w:tcPr>
            <w:tcW w:w="656" w:type="dxa"/>
            <w:vAlign w:val="center"/>
          </w:tcPr>
          <w:p w14:paraId="211DFB1D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029" w:type="dxa"/>
            <w:vAlign w:val="center"/>
          </w:tcPr>
          <w:p w14:paraId="0960DB75" w14:textId="77777777" w:rsidR="00844092" w:rsidRDefault="00000000">
            <w:pPr>
              <w:pStyle w:val="TableText"/>
              <w:tabs>
                <w:tab w:val="left" w:pos="840"/>
              </w:tabs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评价指标</w:t>
            </w:r>
          </w:p>
        </w:tc>
        <w:tc>
          <w:tcPr>
            <w:tcW w:w="5793" w:type="dxa"/>
            <w:vAlign w:val="center"/>
          </w:tcPr>
          <w:p w14:paraId="24EBA105" w14:textId="77777777" w:rsidR="00844092" w:rsidRDefault="00000000">
            <w:pPr>
              <w:pStyle w:val="TableText"/>
              <w:spacing w:line="22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pacing w:val="-6"/>
                <w:sz w:val="21"/>
                <w:szCs w:val="21"/>
              </w:rPr>
              <w:t>标准</w:t>
            </w:r>
            <w:proofErr w:type="spellEnd"/>
            <w:r>
              <w:rPr>
                <w:rFonts w:hint="eastAsia"/>
                <w:spacing w:val="-6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1537" w:type="dxa"/>
            <w:gridSpan w:val="2"/>
            <w:vAlign w:val="center"/>
          </w:tcPr>
          <w:p w14:paraId="1A052FCD" w14:textId="77777777" w:rsidR="00844092" w:rsidRDefault="0000000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评价结果</w:t>
            </w:r>
          </w:p>
        </w:tc>
      </w:tr>
      <w:tr w:rsidR="00844092" w14:paraId="582D486C" w14:textId="77777777">
        <w:trPr>
          <w:trHeight w:val="444"/>
          <w:jc w:val="center"/>
        </w:trPr>
        <w:tc>
          <w:tcPr>
            <w:tcW w:w="656" w:type="dxa"/>
            <w:vMerge w:val="restart"/>
            <w:vAlign w:val="center"/>
          </w:tcPr>
          <w:p w14:paraId="5A367785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29" w:type="dxa"/>
            <w:vMerge w:val="restart"/>
            <w:vAlign w:val="center"/>
          </w:tcPr>
          <w:p w14:paraId="02AE1F5A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控制项</w:t>
            </w:r>
          </w:p>
        </w:tc>
        <w:tc>
          <w:tcPr>
            <w:tcW w:w="5793" w:type="dxa"/>
            <w:vAlign w:val="center"/>
          </w:tcPr>
          <w:p w14:paraId="2DA188AD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危险性较大分部分项工程按规定编制专项施工方案</w:t>
            </w:r>
          </w:p>
          <w:p w14:paraId="7A4D8B25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超过一定规模的危大工程方案组织专家论证</w:t>
            </w:r>
          </w:p>
        </w:tc>
        <w:tc>
          <w:tcPr>
            <w:tcW w:w="1537" w:type="dxa"/>
            <w:gridSpan w:val="2"/>
            <w:vAlign w:val="center"/>
          </w:tcPr>
          <w:p w14:paraId="3A8F79AC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br/>
            </w: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844092" w14:paraId="7040691C" w14:textId="77777777">
        <w:trPr>
          <w:trHeight w:val="90"/>
          <w:jc w:val="center"/>
        </w:trPr>
        <w:tc>
          <w:tcPr>
            <w:tcW w:w="656" w:type="dxa"/>
            <w:vMerge/>
            <w:vAlign w:val="center"/>
          </w:tcPr>
          <w:p w14:paraId="6AEED07F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1029" w:type="dxa"/>
            <w:vMerge/>
            <w:vAlign w:val="center"/>
          </w:tcPr>
          <w:p w14:paraId="15E36933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5793" w:type="dxa"/>
            <w:vAlign w:val="center"/>
          </w:tcPr>
          <w:p w14:paraId="5DE85295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挂篮所用的承重构配件和连接件无质量合格证、材质证明</w:t>
            </w:r>
          </w:p>
        </w:tc>
        <w:tc>
          <w:tcPr>
            <w:tcW w:w="1537" w:type="dxa"/>
            <w:gridSpan w:val="2"/>
            <w:vAlign w:val="center"/>
          </w:tcPr>
          <w:p w14:paraId="765AE5E0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844092" w14:paraId="3921A28D" w14:textId="77777777">
        <w:trPr>
          <w:trHeight w:val="253"/>
          <w:jc w:val="center"/>
        </w:trPr>
        <w:tc>
          <w:tcPr>
            <w:tcW w:w="656" w:type="dxa"/>
            <w:vMerge/>
            <w:vAlign w:val="center"/>
          </w:tcPr>
          <w:p w14:paraId="183E9016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14:paraId="3529137A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793" w:type="dxa"/>
            <w:vAlign w:val="center"/>
          </w:tcPr>
          <w:p w14:paraId="354A4782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按规定配备专职安全员；项目负责人、专职安全员应取得有效安全生产考核合格证</w:t>
            </w:r>
          </w:p>
        </w:tc>
        <w:tc>
          <w:tcPr>
            <w:tcW w:w="1537" w:type="dxa"/>
            <w:gridSpan w:val="2"/>
            <w:vAlign w:val="center"/>
          </w:tcPr>
          <w:p w14:paraId="59EA81DB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844092" w14:paraId="430BEB89" w14:textId="77777777">
        <w:trPr>
          <w:trHeight w:val="253"/>
          <w:jc w:val="center"/>
        </w:trPr>
        <w:tc>
          <w:tcPr>
            <w:tcW w:w="656" w:type="dxa"/>
            <w:vMerge/>
            <w:vAlign w:val="center"/>
          </w:tcPr>
          <w:p w14:paraId="195F4DAF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14:paraId="44CE4144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793" w:type="dxa"/>
            <w:vAlign w:val="center"/>
          </w:tcPr>
          <w:p w14:paraId="622C8E32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特种作业人员应取得有效特种作业人员操作资格证书</w:t>
            </w:r>
          </w:p>
        </w:tc>
        <w:tc>
          <w:tcPr>
            <w:tcW w:w="1537" w:type="dxa"/>
            <w:gridSpan w:val="2"/>
            <w:vAlign w:val="center"/>
          </w:tcPr>
          <w:p w14:paraId="62865EA4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844092" w14:paraId="39E2BE27" w14:textId="77777777">
        <w:trPr>
          <w:trHeight w:val="253"/>
          <w:jc w:val="center"/>
        </w:trPr>
        <w:tc>
          <w:tcPr>
            <w:tcW w:w="656" w:type="dxa"/>
            <w:vMerge/>
            <w:vAlign w:val="center"/>
          </w:tcPr>
          <w:p w14:paraId="6BD8EEE6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14:paraId="2EC5A0C5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793" w:type="dxa"/>
            <w:vAlign w:val="center"/>
          </w:tcPr>
          <w:p w14:paraId="37C81423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专项施工方案实施前，进行安全技术交底</w:t>
            </w:r>
          </w:p>
        </w:tc>
        <w:tc>
          <w:tcPr>
            <w:tcW w:w="1537" w:type="dxa"/>
            <w:gridSpan w:val="2"/>
            <w:vAlign w:val="center"/>
          </w:tcPr>
          <w:p w14:paraId="37E4E460" w14:textId="77777777" w:rsidR="00844092" w:rsidRDefault="00000000">
            <w:pPr>
              <w:jc w:val="left"/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符合□不符合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□</w:t>
            </w:r>
          </w:p>
        </w:tc>
      </w:tr>
      <w:tr w:rsidR="00844092" w14:paraId="316D43F3" w14:textId="77777777">
        <w:trPr>
          <w:trHeight w:val="253"/>
          <w:jc w:val="center"/>
        </w:trPr>
        <w:tc>
          <w:tcPr>
            <w:tcW w:w="656" w:type="dxa"/>
            <w:vMerge/>
            <w:vAlign w:val="center"/>
          </w:tcPr>
          <w:p w14:paraId="32DF9BF7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14:paraId="306D8CD6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793" w:type="dxa"/>
            <w:vAlign w:val="center"/>
          </w:tcPr>
          <w:p w14:paraId="3971CB4A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采用精轧螺纹钢筋作为吊杆时，使用双螺帽锁紧</w:t>
            </w:r>
          </w:p>
        </w:tc>
        <w:tc>
          <w:tcPr>
            <w:tcW w:w="1537" w:type="dxa"/>
            <w:gridSpan w:val="2"/>
            <w:vAlign w:val="center"/>
          </w:tcPr>
          <w:p w14:paraId="6C3A35B8" w14:textId="77777777" w:rsidR="00844092" w:rsidRDefault="00000000">
            <w:pPr>
              <w:jc w:val="left"/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符合□不符合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□</w:t>
            </w:r>
          </w:p>
        </w:tc>
      </w:tr>
      <w:tr w:rsidR="00844092" w14:paraId="63A98644" w14:textId="77777777">
        <w:trPr>
          <w:trHeight w:val="253"/>
          <w:jc w:val="center"/>
        </w:trPr>
        <w:tc>
          <w:tcPr>
            <w:tcW w:w="656" w:type="dxa"/>
            <w:vMerge/>
            <w:vAlign w:val="center"/>
          </w:tcPr>
          <w:p w14:paraId="201F8A90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14:paraId="1AE7AA08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793" w:type="dxa"/>
            <w:vAlign w:val="center"/>
          </w:tcPr>
          <w:p w14:paraId="6E7A3A8C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挂篮拼装完成后办理检查验收签证手续</w:t>
            </w:r>
          </w:p>
        </w:tc>
        <w:tc>
          <w:tcPr>
            <w:tcW w:w="1537" w:type="dxa"/>
            <w:gridSpan w:val="2"/>
            <w:vAlign w:val="center"/>
          </w:tcPr>
          <w:p w14:paraId="353F510D" w14:textId="77777777" w:rsidR="00844092" w:rsidRDefault="00000000">
            <w:pPr>
              <w:jc w:val="left"/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符合□不符合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□</w:t>
            </w:r>
          </w:p>
        </w:tc>
      </w:tr>
      <w:tr w:rsidR="00844092" w14:paraId="005DD7C5" w14:textId="77777777">
        <w:trPr>
          <w:trHeight w:val="233"/>
          <w:jc w:val="center"/>
        </w:trPr>
        <w:tc>
          <w:tcPr>
            <w:tcW w:w="656" w:type="dxa"/>
            <w:vMerge/>
            <w:vAlign w:val="center"/>
          </w:tcPr>
          <w:p w14:paraId="1A72132A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14:paraId="67200C70" w14:textId="77777777" w:rsidR="00844092" w:rsidRDefault="00844092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793" w:type="dxa"/>
            <w:vAlign w:val="center"/>
          </w:tcPr>
          <w:p w14:paraId="00CA005E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按照方案施工</w:t>
            </w:r>
            <w:proofErr w:type="spellEnd"/>
          </w:p>
        </w:tc>
        <w:tc>
          <w:tcPr>
            <w:tcW w:w="1537" w:type="dxa"/>
            <w:gridSpan w:val="2"/>
            <w:vAlign w:val="center"/>
          </w:tcPr>
          <w:p w14:paraId="53206994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844092" w14:paraId="13EAB7DA" w14:textId="77777777">
        <w:trPr>
          <w:trHeight w:val="217"/>
          <w:jc w:val="center"/>
        </w:trPr>
        <w:tc>
          <w:tcPr>
            <w:tcW w:w="656" w:type="dxa"/>
            <w:vMerge w:val="restart"/>
            <w:vAlign w:val="center"/>
          </w:tcPr>
          <w:p w14:paraId="0BB8BAFF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029" w:type="dxa"/>
            <w:vMerge w:val="restart"/>
            <w:vAlign w:val="center"/>
          </w:tcPr>
          <w:p w14:paraId="0DE643F1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评分项目</w:t>
            </w:r>
          </w:p>
        </w:tc>
        <w:tc>
          <w:tcPr>
            <w:tcW w:w="5793" w:type="dxa"/>
            <w:vMerge w:val="restart"/>
            <w:vAlign w:val="center"/>
          </w:tcPr>
          <w:p w14:paraId="3EDAA49E" w14:textId="77777777" w:rsidR="00844092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扣分标准</w:t>
            </w:r>
            <w:proofErr w:type="spellEnd"/>
          </w:p>
        </w:tc>
        <w:tc>
          <w:tcPr>
            <w:tcW w:w="1537" w:type="dxa"/>
            <w:gridSpan w:val="2"/>
            <w:vAlign w:val="center"/>
          </w:tcPr>
          <w:p w14:paraId="73A87277" w14:textId="77777777" w:rsidR="00844092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评价得分</w:t>
            </w:r>
            <w:proofErr w:type="spellEnd"/>
          </w:p>
        </w:tc>
      </w:tr>
      <w:tr w:rsidR="00844092" w14:paraId="6D451D7F" w14:textId="77777777">
        <w:trPr>
          <w:trHeight w:val="90"/>
          <w:jc w:val="center"/>
        </w:trPr>
        <w:tc>
          <w:tcPr>
            <w:tcW w:w="656" w:type="dxa"/>
            <w:vMerge/>
            <w:vAlign w:val="center"/>
          </w:tcPr>
          <w:p w14:paraId="691D9FEF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1029" w:type="dxa"/>
            <w:vMerge/>
            <w:vAlign w:val="center"/>
          </w:tcPr>
          <w:p w14:paraId="794AAB78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5793" w:type="dxa"/>
            <w:vMerge/>
            <w:vAlign w:val="center"/>
          </w:tcPr>
          <w:p w14:paraId="07345BC2" w14:textId="77777777" w:rsidR="00844092" w:rsidRDefault="00844092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</w:p>
        </w:tc>
        <w:tc>
          <w:tcPr>
            <w:tcW w:w="802" w:type="dxa"/>
            <w:vAlign w:val="center"/>
          </w:tcPr>
          <w:p w14:paraId="355B0EDD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应得分</w:t>
            </w:r>
            <w:proofErr w:type="spellEnd"/>
          </w:p>
        </w:tc>
        <w:tc>
          <w:tcPr>
            <w:tcW w:w="735" w:type="dxa"/>
            <w:vAlign w:val="center"/>
          </w:tcPr>
          <w:p w14:paraId="0C90A497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实得分</w:t>
            </w:r>
            <w:proofErr w:type="spellEnd"/>
          </w:p>
        </w:tc>
      </w:tr>
      <w:tr w:rsidR="00844092" w14:paraId="58B5C6FB" w14:textId="77777777">
        <w:trPr>
          <w:trHeight w:val="932"/>
          <w:jc w:val="center"/>
        </w:trPr>
        <w:tc>
          <w:tcPr>
            <w:tcW w:w="656" w:type="dxa"/>
            <w:vAlign w:val="center"/>
          </w:tcPr>
          <w:p w14:paraId="07FA808A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29" w:type="dxa"/>
            <w:vAlign w:val="center"/>
          </w:tcPr>
          <w:p w14:paraId="1C3B0CE0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方案与交底</w:t>
            </w:r>
          </w:p>
        </w:tc>
        <w:tc>
          <w:tcPr>
            <w:tcW w:w="5793" w:type="dxa"/>
            <w:vAlign w:val="center"/>
          </w:tcPr>
          <w:p w14:paraId="7757FE05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设计文件中图纸或计算书不齐全，扣2-10分</w:t>
            </w:r>
          </w:p>
          <w:p w14:paraId="20ECF5A4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交底无针对性或无文字记录，扣2-5分</w:t>
            </w:r>
          </w:p>
        </w:tc>
        <w:tc>
          <w:tcPr>
            <w:tcW w:w="802" w:type="dxa"/>
            <w:vAlign w:val="center"/>
          </w:tcPr>
          <w:p w14:paraId="5064DC6E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10</w:t>
            </w:r>
          </w:p>
        </w:tc>
        <w:tc>
          <w:tcPr>
            <w:tcW w:w="735" w:type="dxa"/>
            <w:vAlign w:val="center"/>
          </w:tcPr>
          <w:p w14:paraId="3CC273B5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844092" w14:paraId="1A3F4DAC" w14:textId="77777777">
        <w:trPr>
          <w:trHeight w:val="1062"/>
          <w:jc w:val="center"/>
        </w:trPr>
        <w:tc>
          <w:tcPr>
            <w:tcW w:w="656" w:type="dxa"/>
            <w:vAlign w:val="center"/>
          </w:tcPr>
          <w:p w14:paraId="0D3DF2BE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29" w:type="dxa"/>
            <w:vAlign w:val="center"/>
          </w:tcPr>
          <w:p w14:paraId="22DB53BA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构配件材质</w:t>
            </w:r>
          </w:p>
        </w:tc>
        <w:tc>
          <w:tcPr>
            <w:tcW w:w="5793" w:type="dxa"/>
            <w:vAlign w:val="center"/>
          </w:tcPr>
          <w:p w14:paraId="3631EE10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构配件品种、规格、型号、材质不符合专项施工方案和有关标准的要求，扣5-10分</w:t>
            </w:r>
          </w:p>
          <w:p w14:paraId="334CB01F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挂篮所采用的钢吊带或吊杆（含销轴）应无无损探伤检测记录，扣5分</w:t>
            </w:r>
          </w:p>
          <w:p w14:paraId="064FD512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挂篮所采用的液压或卷扬等装置无产品合格证，扣5分</w:t>
            </w:r>
          </w:p>
          <w:p w14:paraId="50E11AD9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主体结构构件、连接件有显著的变形、超标的挠度或严重锈蚀剥皮，扣5-10分</w:t>
            </w:r>
          </w:p>
        </w:tc>
        <w:tc>
          <w:tcPr>
            <w:tcW w:w="802" w:type="dxa"/>
            <w:vAlign w:val="center"/>
          </w:tcPr>
          <w:p w14:paraId="50C66C63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10</w:t>
            </w:r>
          </w:p>
        </w:tc>
        <w:tc>
          <w:tcPr>
            <w:tcW w:w="735" w:type="dxa"/>
            <w:vAlign w:val="center"/>
          </w:tcPr>
          <w:p w14:paraId="5DB1C806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844092" w14:paraId="215DF1DE" w14:textId="77777777">
        <w:trPr>
          <w:trHeight w:val="1708"/>
          <w:jc w:val="center"/>
        </w:trPr>
        <w:tc>
          <w:tcPr>
            <w:tcW w:w="656" w:type="dxa"/>
            <w:vAlign w:val="center"/>
          </w:tcPr>
          <w:p w14:paraId="4532D2CC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029" w:type="dxa"/>
            <w:vAlign w:val="center"/>
          </w:tcPr>
          <w:p w14:paraId="1E6F0F73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加工制作</w:t>
            </w:r>
          </w:p>
        </w:tc>
        <w:tc>
          <w:tcPr>
            <w:tcW w:w="5793" w:type="dxa"/>
            <w:vAlign w:val="center"/>
          </w:tcPr>
          <w:p w14:paraId="3427A690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挂篮各部件加工完成后未进行试拼装，或无拼装记录，扣3分</w:t>
            </w:r>
          </w:p>
          <w:p w14:paraId="4990B1FD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挂篮采用螺栓连接进行拼装时对螺栓</w:t>
            </w:r>
            <w:proofErr w:type="gramStart"/>
            <w:r>
              <w:rPr>
                <w:rFonts w:ascii="宋体" w:hAnsi="宋体" w:hint="eastAsia"/>
                <w:color w:val="auto"/>
              </w:rPr>
              <w:t>孔进行</w:t>
            </w:r>
            <w:proofErr w:type="gramEnd"/>
            <w:r>
              <w:rPr>
                <w:rFonts w:ascii="宋体" w:hAnsi="宋体" w:hint="eastAsia"/>
                <w:color w:val="auto"/>
              </w:rPr>
              <w:t>切割扩孔，扣5分</w:t>
            </w:r>
          </w:p>
          <w:p w14:paraId="4151E8BD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挂篮制作完成后未经厂家自检合格并出具合格证，扣5分</w:t>
            </w:r>
          </w:p>
          <w:p w14:paraId="44366698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挂篮焊接各部位焊缝有焊接缺陷，每处扣2分</w:t>
            </w:r>
          </w:p>
          <w:p w14:paraId="7DDD6141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挂篮螺栓连接或销接连接不紧密、可靠，每处扣2分</w:t>
            </w:r>
          </w:p>
        </w:tc>
        <w:tc>
          <w:tcPr>
            <w:tcW w:w="802" w:type="dxa"/>
            <w:vAlign w:val="center"/>
          </w:tcPr>
          <w:p w14:paraId="30050C9D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10</w:t>
            </w:r>
          </w:p>
        </w:tc>
        <w:tc>
          <w:tcPr>
            <w:tcW w:w="735" w:type="dxa"/>
            <w:vAlign w:val="center"/>
          </w:tcPr>
          <w:p w14:paraId="1814F4E5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844092" w14:paraId="1A455419" w14:textId="77777777">
        <w:trPr>
          <w:trHeight w:val="258"/>
          <w:jc w:val="center"/>
        </w:trPr>
        <w:tc>
          <w:tcPr>
            <w:tcW w:w="656" w:type="dxa"/>
            <w:vAlign w:val="center"/>
          </w:tcPr>
          <w:p w14:paraId="35CF0006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029" w:type="dxa"/>
            <w:vAlign w:val="center"/>
          </w:tcPr>
          <w:p w14:paraId="0539BA26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挂篮结构</w:t>
            </w:r>
          </w:p>
        </w:tc>
        <w:tc>
          <w:tcPr>
            <w:tcW w:w="5793" w:type="dxa"/>
            <w:vAlign w:val="center"/>
          </w:tcPr>
          <w:p w14:paraId="2605AD5F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挂篮的总重量超出设计规定的限重范围，扣5-8分</w:t>
            </w:r>
          </w:p>
          <w:p w14:paraId="7D1B18CB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吊篮的主桁架间横联的设置不满足方案设计的规定，扣5-10分</w:t>
            </w:r>
          </w:p>
          <w:p w14:paraId="21BDF38E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采用挂篮浇筑主梁0号段及相邻梁段浇筑施工时，采用的支架系统不牢固可靠或构造不合理，扣5-10分</w:t>
            </w:r>
          </w:p>
          <w:p w14:paraId="6D50D7AA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辅助支架搭设材料及构件的质量不符合相关标准的技术要求，扣5-10分</w:t>
            </w:r>
          </w:p>
          <w:p w14:paraId="34152DBE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挂篮悬臂端最大变形应超过20mm，扣5-10分</w:t>
            </w:r>
          </w:p>
          <w:p w14:paraId="1D097B56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挂篮的行走装置、锚固装置未按方案设计规定的位置和方式进行设置，扣5-10分</w:t>
            </w:r>
          </w:p>
        </w:tc>
        <w:tc>
          <w:tcPr>
            <w:tcW w:w="802" w:type="dxa"/>
            <w:vAlign w:val="center"/>
          </w:tcPr>
          <w:p w14:paraId="352C9271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10</w:t>
            </w:r>
          </w:p>
        </w:tc>
        <w:tc>
          <w:tcPr>
            <w:tcW w:w="735" w:type="dxa"/>
            <w:vAlign w:val="center"/>
          </w:tcPr>
          <w:p w14:paraId="05438DF6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844092" w14:paraId="0441B0E9" w14:textId="77777777">
        <w:trPr>
          <w:trHeight w:val="592"/>
          <w:jc w:val="center"/>
        </w:trPr>
        <w:tc>
          <w:tcPr>
            <w:tcW w:w="656" w:type="dxa"/>
            <w:vAlign w:val="center"/>
          </w:tcPr>
          <w:p w14:paraId="0BCC1248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029" w:type="dxa"/>
            <w:vAlign w:val="center"/>
          </w:tcPr>
          <w:p w14:paraId="04BD5C4F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行走与锚固</w:t>
            </w:r>
          </w:p>
        </w:tc>
        <w:tc>
          <w:tcPr>
            <w:tcW w:w="5793" w:type="dxa"/>
            <w:vAlign w:val="center"/>
          </w:tcPr>
          <w:p w14:paraId="44A498A8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挂篮行走无专项操作指导书，扣3分</w:t>
            </w:r>
          </w:p>
          <w:p w14:paraId="383A1C77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滑道或轨道铺设不平顺，扣2分</w:t>
            </w:r>
          </w:p>
          <w:p w14:paraId="166380C8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滑道或轨道未设置限位器或限位</w:t>
            </w:r>
            <w:proofErr w:type="gramStart"/>
            <w:r>
              <w:rPr>
                <w:rFonts w:ascii="宋体" w:hAnsi="宋体" w:hint="eastAsia"/>
                <w:color w:val="auto"/>
              </w:rPr>
              <w:t>器设置</w:t>
            </w:r>
            <w:proofErr w:type="gramEnd"/>
            <w:r>
              <w:rPr>
                <w:rFonts w:ascii="宋体" w:hAnsi="宋体" w:hint="eastAsia"/>
                <w:color w:val="auto"/>
              </w:rPr>
              <w:t>不牢固，扣5分</w:t>
            </w:r>
          </w:p>
          <w:p w14:paraId="0F689878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lastRenderedPageBreak/>
              <w:t>挂篮移动前未解除所有吊挂系统和模板系统的约束，或未完成悬吊系统的转换，扣5-10分</w:t>
            </w:r>
          </w:p>
          <w:p w14:paraId="3F0F099F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挂篮移动前，未完成锚固体系的可靠转换，或未设置保险措施，扣10分</w:t>
            </w:r>
          </w:p>
          <w:p w14:paraId="7C7D9D2A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挂篮行走前未检查行走系统、吊挂系统和模板系统，或未形成检查记录，扣5分</w:t>
            </w:r>
          </w:p>
          <w:p w14:paraId="5B50E8DC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挂篮移动过程中未设置防倾覆装置，扣5分</w:t>
            </w:r>
          </w:p>
          <w:p w14:paraId="781731CF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挂篮行走到位后未及时锚固，扣5分</w:t>
            </w:r>
          </w:p>
        </w:tc>
        <w:tc>
          <w:tcPr>
            <w:tcW w:w="802" w:type="dxa"/>
            <w:vAlign w:val="center"/>
          </w:tcPr>
          <w:p w14:paraId="1AC491CF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lastRenderedPageBreak/>
              <w:t>10</w:t>
            </w:r>
          </w:p>
        </w:tc>
        <w:tc>
          <w:tcPr>
            <w:tcW w:w="735" w:type="dxa"/>
            <w:vAlign w:val="center"/>
          </w:tcPr>
          <w:p w14:paraId="0E900438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844092" w14:paraId="369FB4C9" w14:textId="77777777">
        <w:trPr>
          <w:trHeight w:val="1137"/>
          <w:jc w:val="center"/>
        </w:trPr>
        <w:tc>
          <w:tcPr>
            <w:tcW w:w="656" w:type="dxa"/>
            <w:vAlign w:val="center"/>
          </w:tcPr>
          <w:p w14:paraId="1FBBA5CA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029" w:type="dxa"/>
            <w:vAlign w:val="center"/>
          </w:tcPr>
          <w:p w14:paraId="26C61EF6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检查验收</w:t>
            </w:r>
          </w:p>
        </w:tc>
        <w:tc>
          <w:tcPr>
            <w:tcW w:w="5793" w:type="dxa"/>
            <w:vAlign w:val="center"/>
          </w:tcPr>
          <w:p w14:paraId="4E023E31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挂篮设备进场时未对各构件规格、型号、尺寸、数量、外观质量和配件及专用工具的配备进行检查验收，扣5-10分</w:t>
            </w:r>
          </w:p>
          <w:p w14:paraId="7ADFB6FA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proofErr w:type="gramStart"/>
            <w:r>
              <w:rPr>
                <w:rFonts w:ascii="宋体" w:hAnsi="宋体" w:hint="eastAsia"/>
                <w:color w:val="auto"/>
              </w:rPr>
              <w:t>墩顶0号</w:t>
            </w:r>
            <w:proofErr w:type="gramEnd"/>
            <w:r>
              <w:rPr>
                <w:rFonts w:ascii="宋体" w:hAnsi="宋体" w:hint="eastAsia"/>
                <w:color w:val="auto"/>
              </w:rPr>
              <w:t>段及相邻两端浇筑施工时，采用的支架系统施工完成后未办理验收手续，扣5分</w:t>
            </w:r>
          </w:p>
          <w:p w14:paraId="5F68E5F0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验收未采用相关标准规定的表格或经审批的表格形成量化记录，或未经责任人签字确认，扣5-10分</w:t>
            </w:r>
          </w:p>
          <w:p w14:paraId="52E344DF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挂篮验收合格后未在明显位置悬挂验收合格牌的，扣2分</w:t>
            </w:r>
          </w:p>
        </w:tc>
        <w:tc>
          <w:tcPr>
            <w:tcW w:w="802" w:type="dxa"/>
            <w:vAlign w:val="center"/>
          </w:tcPr>
          <w:p w14:paraId="0A114486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10</w:t>
            </w:r>
          </w:p>
        </w:tc>
        <w:tc>
          <w:tcPr>
            <w:tcW w:w="735" w:type="dxa"/>
            <w:vAlign w:val="center"/>
          </w:tcPr>
          <w:p w14:paraId="75CBDA9D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844092" w14:paraId="75B8107D" w14:textId="77777777">
        <w:trPr>
          <w:trHeight w:val="1137"/>
          <w:jc w:val="center"/>
        </w:trPr>
        <w:tc>
          <w:tcPr>
            <w:tcW w:w="656" w:type="dxa"/>
            <w:vAlign w:val="center"/>
          </w:tcPr>
          <w:p w14:paraId="7FF8EBC4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029" w:type="dxa"/>
            <w:vAlign w:val="center"/>
          </w:tcPr>
          <w:p w14:paraId="1FFDC777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使用与监测</w:t>
            </w:r>
          </w:p>
        </w:tc>
        <w:tc>
          <w:tcPr>
            <w:tcW w:w="5793" w:type="dxa"/>
            <w:vAlign w:val="center"/>
          </w:tcPr>
          <w:p w14:paraId="732580B5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挂篮使用中，千斤顶、滑道、手拉葫芦、钢丝绳、保险绳、后锚固筋及连接器等未处于完好的状态，扣2-5分</w:t>
            </w:r>
          </w:p>
          <w:p w14:paraId="35436DF2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挂篮使用前，未在显著位置悬挂挂篮安全使用规程，扣5分</w:t>
            </w:r>
          </w:p>
          <w:p w14:paraId="38ECE5FC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两悬臂端挂篮上的荷载不平衡偏差超过设计的规定，或同一挂篮轴线两侧的荷载不均衡，扣2-5分</w:t>
            </w:r>
          </w:p>
          <w:p w14:paraId="393EDCFE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混凝土未从悬臂端向已完梁段的顺序分层浇筑的，扣3分</w:t>
            </w:r>
          </w:p>
          <w:p w14:paraId="7F5C662A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挂篮使用过程中未对挂篮各部位的变形进行监测，或未形成监测记录，扣5分</w:t>
            </w:r>
          </w:p>
          <w:p w14:paraId="180A1A7C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挂篮行走过程中，构件上站人，扣2分</w:t>
            </w:r>
          </w:p>
        </w:tc>
        <w:tc>
          <w:tcPr>
            <w:tcW w:w="802" w:type="dxa"/>
            <w:vAlign w:val="center"/>
          </w:tcPr>
          <w:p w14:paraId="545E4A36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10</w:t>
            </w:r>
          </w:p>
        </w:tc>
        <w:tc>
          <w:tcPr>
            <w:tcW w:w="735" w:type="dxa"/>
            <w:vAlign w:val="center"/>
          </w:tcPr>
          <w:p w14:paraId="6C6E7100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844092" w14:paraId="61F1B436" w14:textId="77777777">
        <w:trPr>
          <w:trHeight w:val="1137"/>
          <w:jc w:val="center"/>
        </w:trPr>
        <w:tc>
          <w:tcPr>
            <w:tcW w:w="656" w:type="dxa"/>
            <w:vAlign w:val="center"/>
          </w:tcPr>
          <w:p w14:paraId="6D13C4C8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029" w:type="dxa"/>
            <w:vAlign w:val="center"/>
          </w:tcPr>
          <w:p w14:paraId="5C568CA6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预留预埋</w:t>
            </w:r>
          </w:p>
        </w:tc>
        <w:tc>
          <w:tcPr>
            <w:tcW w:w="5793" w:type="dxa"/>
            <w:vAlign w:val="center"/>
          </w:tcPr>
          <w:p w14:paraId="5F00BCB3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预留孔数量、位置、尺寸不符合专项施工方案的要求，每处扣3分</w:t>
            </w:r>
          </w:p>
          <w:p w14:paraId="5E23A991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预埋件型号、位置、标高不符合专项施工方案要求，扣5-8分</w:t>
            </w:r>
          </w:p>
        </w:tc>
        <w:tc>
          <w:tcPr>
            <w:tcW w:w="802" w:type="dxa"/>
            <w:vAlign w:val="center"/>
          </w:tcPr>
          <w:p w14:paraId="26A514E0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10</w:t>
            </w:r>
          </w:p>
        </w:tc>
        <w:tc>
          <w:tcPr>
            <w:tcW w:w="735" w:type="dxa"/>
            <w:vAlign w:val="center"/>
          </w:tcPr>
          <w:p w14:paraId="340D0D85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844092" w14:paraId="70B0B3D6" w14:textId="77777777">
        <w:trPr>
          <w:trHeight w:val="295"/>
          <w:jc w:val="center"/>
        </w:trPr>
        <w:tc>
          <w:tcPr>
            <w:tcW w:w="656" w:type="dxa"/>
            <w:vAlign w:val="center"/>
          </w:tcPr>
          <w:p w14:paraId="71B7B903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029" w:type="dxa"/>
            <w:vAlign w:val="center"/>
          </w:tcPr>
          <w:p w14:paraId="28FCEF3C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安全防护</w:t>
            </w:r>
          </w:p>
        </w:tc>
        <w:tc>
          <w:tcPr>
            <w:tcW w:w="5793" w:type="dxa"/>
            <w:vAlign w:val="center"/>
          </w:tcPr>
          <w:p w14:paraId="3BCCE588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操作平台不稳固，扣2-10分</w:t>
            </w:r>
          </w:p>
          <w:p w14:paraId="01D71962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操作平台未牢固满铺脚手板，扣2-5分</w:t>
            </w:r>
          </w:p>
          <w:p w14:paraId="629F4316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操作平台未按规定设置栏杆、挡脚板和安全立网，扣2-5分</w:t>
            </w:r>
          </w:p>
          <w:p w14:paraId="1DE02D0A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上下操作平台间未设置梯道，扣5分，梯道设置不牢固或不畅通，扣3分</w:t>
            </w:r>
          </w:p>
        </w:tc>
        <w:tc>
          <w:tcPr>
            <w:tcW w:w="802" w:type="dxa"/>
            <w:vAlign w:val="center"/>
          </w:tcPr>
          <w:p w14:paraId="6B04BDC4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10</w:t>
            </w:r>
          </w:p>
        </w:tc>
        <w:tc>
          <w:tcPr>
            <w:tcW w:w="735" w:type="dxa"/>
            <w:vAlign w:val="center"/>
          </w:tcPr>
          <w:p w14:paraId="2D445E04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844092" w14:paraId="4CBD08DD" w14:textId="77777777">
        <w:trPr>
          <w:trHeight w:val="1137"/>
          <w:jc w:val="center"/>
        </w:trPr>
        <w:tc>
          <w:tcPr>
            <w:tcW w:w="656" w:type="dxa"/>
            <w:vAlign w:val="center"/>
          </w:tcPr>
          <w:p w14:paraId="15457C82" w14:textId="77777777" w:rsidR="0084409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029" w:type="dxa"/>
            <w:vAlign w:val="center"/>
          </w:tcPr>
          <w:p w14:paraId="70A74DEB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>挂篮拆除</w:t>
            </w:r>
          </w:p>
        </w:tc>
        <w:tc>
          <w:tcPr>
            <w:tcW w:w="5793" w:type="dxa"/>
            <w:vAlign w:val="center"/>
          </w:tcPr>
          <w:p w14:paraId="56CEB780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挂篮拆除前未向现场管理人员和作业人员进行安全技术交底，扣5分</w:t>
            </w:r>
          </w:p>
          <w:p w14:paraId="1719E69C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挂篮后移过程中未设专人统一指挥，扣5分</w:t>
            </w:r>
          </w:p>
          <w:p w14:paraId="5B4BED1F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拆除作业未按照先拆除模板和吊挂系统后拆除主</w:t>
            </w:r>
            <w:proofErr w:type="gramStart"/>
            <w:r>
              <w:rPr>
                <w:rFonts w:ascii="宋体" w:hAnsi="宋体" w:hint="eastAsia"/>
                <w:color w:val="auto"/>
              </w:rPr>
              <w:t>桁</w:t>
            </w:r>
            <w:proofErr w:type="gramEnd"/>
            <w:r>
              <w:rPr>
                <w:rFonts w:ascii="宋体" w:hAnsi="宋体" w:hint="eastAsia"/>
                <w:color w:val="auto"/>
              </w:rPr>
              <w:t>受力系统的顺序进行，扣5分</w:t>
            </w:r>
          </w:p>
          <w:p w14:paraId="452EAA17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模板系统和吊挂系统拆除时未完成体系转换，扣5分</w:t>
            </w:r>
          </w:p>
          <w:p w14:paraId="5C1F002F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两悬臂端挂篮后移和拆除未按照对称同步的顺序进行，扣2分</w:t>
            </w:r>
          </w:p>
          <w:p w14:paraId="54628492" w14:textId="77777777" w:rsidR="00844092" w:rsidRDefault="00000000">
            <w:pPr>
              <w:pStyle w:val="ad"/>
              <w:jc w:val="left"/>
              <w:rPr>
                <w:rFonts w:ascii="宋体" w:hAnsi="宋体" w:hint="eastAsia"/>
                <w:color w:val="auto"/>
              </w:rPr>
            </w:pPr>
            <w:r>
              <w:rPr>
                <w:rFonts w:ascii="宋体" w:hAnsi="宋体" w:hint="eastAsia"/>
                <w:color w:val="auto"/>
              </w:rPr>
              <w:t>挂篮拆除过程中前端堆放物料，扣2分</w:t>
            </w:r>
          </w:p>
        </w:tc>
        <w:tc>
          <w:tcPr>
            <w:tcW w:w="802" w:type="dxa"/>
            <w:vAlign w:val="center"/>
          </w:tcPr>
          <w:p w14:paraId="1D374639" w14:textId="77777777" w:rsidR="00844092" w:rsidRDefault="00000000">
            <w:pPr>
              <w:pStyle w:val="ad"/>
              <w:rPr>
                <w:rFonts w:ascii="宋体" w:hAnsi="宋体" w:hint="eastAsia"/>
                <w:color w:val="auto"/>
                <w:lang w:eastAsia="en-US"/>
              </w:rPr>
            </w:pPr>
            <w:r>
              <w:rPr>
                <w:rFonts w:ascii="宋体" w:hAnsi="宋体" w:hint="eastAsia"/>
                <w:color w:val="auto"/>
              </w:rPr>
              <w:t xml:space="preserve">10 </w:t>
            </w:r>
          </w:p>
        </w:tc>
        <w:tc>
          <w:tcPr>
            <w:tcW w:w="735" w:type="dxa"/>
            <w:vAlign w:val="center"/>
          </w:tcPr>
          <w:p w14:paraId="026630BD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844092" w14:paraId="66388EB7" w14:textId="77777777">
        <w:trPr>
          <w:trHeight w:val="1137"/>
          <w:jc w:val="center"/>
        </w:trPr>
        <w:tc>
          <w:tcPr>
            <w:tcW w:w="1685" w:type="dxa"/>
            <w:gridSpan w:val="2"/>
            <w:vAlign w:val="center"/>
          </w:tcPr>
          <w:p w14:paraId="77867ED6" w14:textId="77777777" w:rsidR="00844092" w:rsidRDefault="00000000">
            <w:pPr>
              <w:widowControl/>
              <w:snapToGrid w:val="0"/>
              <w:spacing w:before="68" w:line="192" w:lineRule="auto"/>
              <w:ind w:left="79" w:right="40"/>
              <w:jc w:val="center"/>
              <w:textAlignment w:val="center"/>
              <w:rPr>
                <w:rStyle w:val="font91"/>
                <w:rFonts w:hint="eastAsia"/>
                <w:snapToGrid w:val="0"/>
                <w:kern w:val="0"/>
                <w:sz w:val="21"/>
                <w:szCs w:val="21"/>
              </w:rPr>
            </w:pPr>
            <w:r>
              <w:rPr>
                <w:rStyle w:val="font91"/>
                <w:rFonts w:hint="eastAsia"/>
                <w:snapToGrid w:val="0"/>
                <w:kern w:val="0"/>
                <w:sz w:val="21"/>
                <w:szCs w:val="21"/>
              </w:rPr>
              <w:t>评价项目合计</w:t>
            </w:r>
          </w:p>
        </w:tc>
        <w:tc>
          <w:tcPr>
            <w:tcW w:w="5793" w:type="dxa"/>
            <w:vAlign w:val="center"/>
          </w:tcPr>
          <w:p w14:paraId="38B6D4B2" w14:textId="77777777" w:rsidR="00844092" w:rsidRDefault="00844092">
            <w:pPr>
              <w:widowControl/>
              <w:snapToGrid w:val="0"/>
              <w:spacing w:before="68" w:line="192" w:lineRule="auto"/>
              <w:ind w:left="79" w:right="40"/>
              <w:jc w:val="center"/>
              <w:textAlignment w:val="center"/>
              <w:rPr>
                <w:rStyle w:val="font91"/>
                <w:rFonts w:hint="eastAsia"/>
                <w:b/>
                <w:bCs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51C3BF03" w14:textId="77777777" w:rsidR="00844092" w:rsidRDefault="00000000">
            <w:pPr>
              <w:widowControl/>
              <w:jc w:val="center"/>
              <w:textAlignment w:val="center"/>
              <w:rPr>
                <w:rStyle w:val="font91"/>
                <w:rFonts w:hint="eastAsia"/>
                <w:snapToGrid w:val="0"/>
                <w:kern w:val="0"/>
                <w:sz w:val="21"/>
                <w:szCs w:val="21"/>
                <w:lang w:eastAsia="en-US"/>
              </w:rPr>
            </w:pPr>
            <w:r>
              <w:rPr>
                <w:rStyle w:val="font91"/>
                <w:rFonts w:hint="eastAsia"/>
                <w:snapToGrid w:val="0"/>
                <w:kern w:val="0"/>
                <w:sz w:val="21"/>
                <w:szCs w:val="21"/>
              </w:rPr>
              <w:t>100</w:t>
            </w:r>
          </w:p>
        </w:tc>
        <w:tc>
          <w:tcPr>
            <w:tcW w:w="735" w:type="dxa"/>
            <w:vAlign w:val="center"/>
          </w:tcPr>
          <w:p w14:paraId="4F2BEFEF" w14:textId="77777777" w:rsidR="00844092" w:rsidRDefault="00844092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</w:tbl>
    <w:p w14:paraId="0FBDAAB1" w14:textId="77777777" w:rsidR="00844092" w:rsidRDefault="00844092">
      <w:pPr>
        <w:rPr>
          <w:rFonts w:hint="eastAsia"/>
        </w:rPr>
      </w:pPr>
    </w:p>
    <w:sectPr w:rsidR="00844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78451" w14:textId="77777777" w:rsidR="00993313" w:rsidRDefault="00993313" w:rsidP="004934BE">
      <w:pPr>
        <w:rPr>
          <w:rFonts w:hint="eastAsia"/>
        </w:rPr>
      </w:pPr>
      <w:r>
        <w:separator/>
      </w:r>
    </w:p>
  </w:endnote>
  <w:endnote w:type="continuationSeparator" w:id="0">
    <w:p w14:paraId="4FA6C644" w14:textId="77777777" w:rsidR="00993313" w:rsidRDefault="00993313" w:rsidP="004934B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24E83" w14:textId="77777777" w:rsidR="00993313" w:rsidRDefault="00993313" w:rsidP="004934BE">
      <w:pPr>
        <w:rPr>
          <w:rFonts w:hint="eastAsia"/>
        </w:rPr>
      </w:pPr>
      <w:r>
        <w:separator/>
      </w:r>
    </w:p>
  </w:footnote>
  <w:footnote w:type="continuationSeparator" w:id="0">
    <w:p w14:paraId="73AEF83F" w14:textId="77777777" w:rsidR="00993313" w:rsidRDefault="00993313" w:rsidP="004934B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020"/>
    <w:rsid w:val="00151566"/>
    <w:rsid w:val="002B3986"/>
    <w:rsid w:val="002F5AB0"/>
    <w:rsid w:val="004433E5"/>
    <w:rsid w:val="004934BE"/>
    <w:rsid w:val="00790020"/>
    <w:rsid w:val="00844092"/>
    <w:rsid w:val="00993313"/>
    <w:rsid w:val="00AC7E4B"/>
    <w:rsid w:val="00C04055"/>
    <w:rsid w:val="11E85E6F"/>
    <w:rsid w:val="162D35F1"/>
    <w:rsid w:val="16FA16C0"/>
    <w:rsid w:val="22AD519E"/>
    <w:rsid w:val="24BE7CB1"/>
    <w:rsid w:val="24BF6A58"/>
    <w:rsid w:val="2FBF7DE5"/>
    <w:rsid w:val="46C50728"/>
    <w:rsid w:val="4CBC7AAB"/>
    <w:rsid w:val="4E327478"/>
    <w:rsid w:val="5000564D"/>
    <w:rsid w:val="52050633"/>
    <w:rsid w:val="5E714E20"/>
    <w:rsid w:val="796E4346"/>
    <w:rsid w:val="7A79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C72BA9"/>
  <w15:docId w15:val="{FA065CCD-3A6D-4DFF-B544-FA2AD88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18"/>
      <w:szCs w:val="18"/>
      <w:lang w:eastAsia="en-US"/>
    </w:rPr>
  </w:style>
  <w:style w:type="paragraph" w:customStyle="1" w:styleId="ad">
    <w:name w:val="表格文字"/>
    <w:basedOn w:val="a"/>
    <w:qFormat/>
    <w:pPr>
      <w:widowControl/>
      <w:jc w:val="center"/>
    </w:pPr>
    <w:rPr>
      <w:rFonts w:ascii="Times New Roman" w:eastAsia="宋体" w:hAnsi="Times New Roman" w:cs="宋体"/>
      <w:bCs/>
      <w:color w:val="000000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/>
      <w:color w:val="000000"/>
      <w:sz w:val="34"/>
      <w:szCs w:val="34"/>
      <w:u w:val="none"/>
    </w:rPr>
  </w:style>
  <w:style w:type="paragraph" w:styleId="ae">
    <w:name w:val="header"/>
    <w:basedOn w:val="a"/>
    <w:link w:val="af"/>
    <w:uiPriority w:val="99"/>
    <w:unhideWhenUsed/>
    <w:rsid w:val="004934B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934BE"/>
    <w:rPr>
      <w:kern w:val="2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934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934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925</Words>
  <Characters>963</Characters>
  <Application>Microsoft Office Word</Application>
  <DocSecurity>0</DocSecurity>
  <Lines>96</Lines>
  <Paragraphs>117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吴航</cp:lastModifiedBy>
  <cp:revision>3</cp:revision>
  <dcterms:created xsi:type="dcterms:W3CDTF">2025-05-02T02:35:00Z</dcterms:created>
  <dcterms:modified xsi:type="dcterms:W3CDTF">2025-05-16T07:43:00Z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eyJoZGlkIjoiYmE5ZTMwYTZhOTIwZjlmNmIwODgzZWMxZmZmZmM5MDIiLCJ1c2VySWQiOiI5MjgwNTQyNDQifQ==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9ED1E3C8B90D4F38BF5162A5B056C7AD_13</vt:lpwstr>
  </property>
</Properties>
</file>