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C79B0">
      <w:pPr>
        <w:jc w:val="center"/>
        <w:rPr>
          <w:rFonts w:hint="eastAsia" w:ascii="宋体" w:hAnsi="宋体" w:eastAsia="宋体"/>
          <w:b/>
          <w:sz w:val="28"/>
          <w:szCs w:val="28"/>
        </w:rPr>
      </w:pPr>
      <w:r>
        <w:rPr>
          <w:rFonts w:hint="eastAsia" w:ascii="宋体" w:hAnsi="宋体" w:eastAsia="宋体"/>
          <w:b/>
          <w:sz w:val="28"/>
          <w:szCs w:val="28"/>
          <w:lang w:val="en-US" w:eastAsia="zh-CN"/>
        </w:rPr>
        <w:t>市政</w:t>
      </w:r>
      <w:r>
        <w:rPr>
          <w:rFonts w:hint="eastAsia" w:ascii="宋体" w:hAnsi="宋体" w:eastAsia="宋体"/>
          <w:b/>
          <w:sz w:val="28"/>
          <w:szCs w:val="28"/>
        </w:rPr>
        <w:t>表B</w:t>
      </w:r>
      <w:r>
        <w:rPr>
          <w:rFonts w:hint="eastAsia" w:ascii="宋体" w:hAnsi="宋体" w:eastAsia="宋体"/>
          <w:b/>
          <w:sz w:val="28"/>
          <w:szCs w:val="28"/>
          <w:lang w:val="en-US" w:eastAsia="zh-CN"/>
        </w:rPr>
        <w:t>11</w:t>
      </w:r>
      <w:r>
        <w:rPr>
          <w:rFonts w:hint="eastAsia" w:ascii="宋体" w:hAnsi="宋体" w:eastAsia="宋体"/>
          <w:b/>
          <w:sz w:val="28"/>
          <w:szCs w:val="28"/>
        </w:rPr>
        <w:t xml:space="preserve">  模板工程评价评分表</w:t>
      </w:r>
    </w:p>
    <w:tbl>
      <w:tblPr>
        <w:tblStyle w:val="16"/>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129"/>
        <w:gridCol w:w="5360"/>
        <w:gridCol w:w="877"/>
        <w:gridCol w:w="850"/>
      </w:tblGrid>
      <w:tr w14:paraId="32452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14:paraId="47BC1BAB">
            <w:pPr>
              <w:rPr>
                <w:rFonts w:hint="eastAsia" w:ascii="宋体" w:hAnsi="宋体" w:eastAsia="宋体"/>
                <w:bCs/>
                <w:szCs w:val="21"/>
              </w:rPr>
            </w:pPr>
            <w:r>
              <w:rPr>
                <w:rFonts w:hint="eastAsia" w:ascii="宋体" w:hAnsi="宋体" w:eastAsia="宋体"/>
                <w:bCs/>
                <w:szCs w:val="21"/>
              </w:rPr>
              <w:t>序号</w:t>
            </w:r>
          </w:p>
        </w:tc>
        <w:tc>
          <w:tcPr>
            <w:tcW w:w="1129" w:type="dxa"/>
            <w:tcBorders>
              <w:top w:val="single" w:color="auto" w:sz="4" w:space="0"/>
              <w:left w:val="single" w:color="auto" w:sz="4" w:space="0"/>
              <w:bottom w:val="single" w:color="auto" w:sz="4" w:space="0"/>
              <w:right w:val="single" w:color="auto" w:sz="4" w:space="0"/>
            </w:tcBorders>
            <w:vAlign w:val="center"/>
          </w:tcPr>
          <w:p w14:paraId="0A140EA9">
            <w:pPr>
              <w:rPr>
                <w:rFonts w:hint="eastAsia" w:ascii="宋体" w:hAnsi="宋体" w:eastAsia="宋体"/>
                <w:bCs/>
                <w:szCs w:val="21"/>
              </w:rPr>
            </w:pPr>
            <w:r>
              <w:rPr>
                <w:rFonts w:hint="eastAsia" w:ascii="宋体" w:hAnsi="宋体" w:eastAsia="宋体"/>
                <w:bCs/>
                <w:szCs w:val="21"/>
              </w:rPr>
              <w:t>评价指标</w:t>
            </w:r>
          </w:p>
        </w:tc>
        <w:tc>
          <w:tcPr>
            <w:tcW w:w="5360" w:type="dxa"/>
            <w:tcBorders>
              <w:top w:val="single" w:color="auto" w:sz="4" w:space="0"/>
              <w:left w:val="single" w:color="auto" w:sz="4" w:space="0"/>
              <w:bottom w:val="single" w:color="auto" w:sz="4" w:space="0"/>
              <w:right w:val="single" w:color="auto" w:sz="4" w:space="0"/>
            </w:tcBorders>
            <w:vAlign w:val="center"/>
          </w:tcPr>
          <w:p w14:paraId="27CCA2DA">
            <w:pPr>
              <w:jc w:val="center"/>
              <w:rPr>
                <w:rFonts w:hint="eastAsia" w:ascii="宋体" w:hAnsi="宋体" w:eastAsia="宋体"/>
                <w:bCs/>
                <w:szCs w:val="21"/>
              </w:rPr>
            </w:pPr>
            <w:r>
              <w:rPr>
                <w:rFonts w:hint="eastAsia" w:ascii="宋体" w:hAnsi="宋体" w:eastAsia="宋体"/>
                <w:bCs/>
                <w:szCs w:val="21"/>
              </w:rPr>
              <w:t>标准要求</w:t>
            </w:r>
          </w:p>
        </w:tc>
        <w:tc>
          <w:tcPr>
            <w:tcW w:w="1727" w:type="dxa"/>
            <w:gridSpan w:val="2"/>
            <w:tcBorders>
              <w:top w:val="single" w:color="auto" w:sz="4" w:space="0"/>
              <w:left w:val="single" w:color="auto" w:sz="4" w:space="0"/>
              <w:bottom w:val="single" w:color="auto" w:sz="4" w:space="0"/>
              <w:right w:val="single" w:color="auto" w:sz="4" w:space="0"/>
            </w:tcBorders>
            <w:vAlign w:val="center"/>
          </w:tcPr>
          <w:p w14:paraId="002F7BB7">
            <w:pPr>
              <w:jc w:val="center"/>
              <w:rPr>
                <w:rFonts w:hint="eastAsia" w:ascii="宋体" w:hAnsi="宋体" w:eastAsia="宋体"/>
                <w:bCs/>
                <w:szCs w:val="21"/>
              </w:rPr>
            </w:pPr>
            <w:r>
              <w:rPr>
                <w:rFonts w:hint="eastAsia" w:ascii="宋体" w:hAnsi="宋体" w:eastAsia="宋体"/>
                <w:bCs/>
                <w:szCs w:val="21"/>
              </w:rPr>
              <w:t>评价结果</w:t>
            </w:r>
          </w:p>
        </w:tc>
      </w:tr>
      <w:tr w14:paraId="5E7F2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5" w:type="dxa"/>
            <w:vMerge w:val="restart"/>
            <w:tcBorders>
              <w:left w:val="single" w:color="auto" w:sz="4" w:space="0"/>
              <w:right w:val="single" w:color="auto" w:sz="4" w:space="0"/>
            </w:tcBorders>
            <w:vAlign w:val="center"/>
          </w:tcPr>
          <w:p w14:paraId="4FC1F1DA">
            <w:pPr>
              <w:rPr>
                <w:rFonts w:hint="eastAsia" w:ascii="宋体" w:hAnsi="宋体" w:eastAsia="宋体"/>
                <w:bCs/>
                <w:szCs w:val="21"/>
              </w:rPr>
            </w:pPr>
            <w:r>
              <w:rPr>
                <w:rFonts w:hint="eastAsia" w:ascii="宋体" w:hAnsi="宋体" w:eastAsia="宋体"/>
                <w:bCs/>
                <w:szCs w:val="21"/>
              </w:rPr>
              <w:t>1</w:t>
            </w:r>
          </w:p>
        </w:tc>
        <w:tc>
          <w:tcPr>
            <w:tcW w:w="1129" w:type="dxa"/>
            <w:vMerge w:val="restart"/>
            <w:tcBorders>
              <w:left w:val="single" w:color="auto" w:sz="4" w:space="0"/>
              <w:right w:val="single" w:color="auto" w:sz="4" w:space="0"/>
            </w:tcBorders>
            <w:vAlign w:val="center"/>
          </w:tcPr>
          <w:p w14:paraId="30B088E9">
            <w:pPr>
              <w:rPr>
                <w:rFonts w:hint="eastAsia" w:ascii="宋体" w:hAnsi="宋体" w:eastAsia="宋体"/>
                <w:bCs/>
                <w:szCs w:val="21"/>
              </w:rPr>
            </w:pPr>
            <w:r>
              <w:rPr>
                <w:rFonts w:hint="eastAsia" w:ascii="宋体" w:hAnsi="宋体" w:eastAsia="宋体"/>
                <w:bCs/>
                <w:szCs w:val="21"/>
              </w:rPr>
              <w:t>控制项</w:t>
            </w:r>
          </w:p>
        </w:tc>
        <w:tc>
          <w:tcPr>
            <w:tcW w:w="5360" w:type="dxa"/>
            <w:tcBorders>
              <w:top w:val="single" w:color="auto" w:sz="4" w:space="0"/>
              <w:left w:val="single" w:color="auto" w:sz="4" w:space="0"/>
              <w:bottom w:val="single" w:color="auto" w:sz="4" w:space="0"/>
              <w:right w:val="single" w:color="auto" w:sz="4" w:space="0"/>
            </w:tcBorders>
            <w:vAlign w:val="center"/>
          </w:tcPr>
          <w:p w14:paraId="52618AD9">
            <w:pPr>
              <w:rPr>
                <w:rFonts w:hint="eastAsia" w:ascii="宋体" w:hAnsi="宋体" w:eastAsia="宋体"/>
                <w:bCs/>
                <w:szCs w:val="21"/>
              </w:rPr>
            </w:pPr>
            <w:r>
              <w:rPr>
                <w:rFonts w:hint="eastAsia" w:ascii="宋体" w:hAnsi="宋体" w:eastAsia="宋体"/>
                <w:bCs/>
                <w:szCs w:val="21"/>
                <w:highlight w:val="none"/>
              </w:rPr>
              <w:t>危大工程应编制专项施工方案，专项施工方案不</w:t>
            </w:r>
            <w:r>
              <w:rPr>
                <w:rFonts w:hint="eastAsia" w:ascii="宋体" w:hAnsi="宋体" w:eastAsia="宋体"/>
                <w:bCs/>
                <w:szCs w:val="21"/>
                <w:highlight w:val="none"/>
                <w:lang w:val="en-US" w:eastAsia="zh-CN"/>
              </w:rPr>
              <w:t>应</w:t>
            </w:r>
            <w:r>
              <w:rPr>
                <w:rFonts w:hint="eastAsia" w:ascii="宋体" w:hAnsi="宋体" w:eastAsia="宋体"/>
                <w:bCs/>
                <w:szCs w:val="21"/>
                <w:highlight w:val="none"/>
              </w:rPr>
              <w:t>存在严重缺陷；超过一定规模应组织专家论证</w:t>
            </w:r>
          </w:p>
        </w:tc>
        <w:tc>
          <w:tcPr>
            <w:tcW w:w="1727" w:type="dxa"/>
            <w:gridSpan w:val="2"/>
            <w:tcBorders>
              <w:top w:val="single" w:color="auto" w:sz="4" w:space="0"/>
              <w:left w:val="single" w:color="auto" w:sz="4" w:space="0"/>
              <w:bottom w:val="single" w:color="auto" w:sz="4" w:space="0"/>
              <w:right w:val="single" w:color="auto" w:sz="4" w:space="0"/>
            </w:tcBorders>
            <w:vAlign w:val="center"/>
          </w:tcPr>
          <w:p w14:paraId="52E9E6BC">
            <w:pPr>
              <w:rPr>
                <w:rFonts w:hint="eastAsia" w:ascii="宋体" w:hAnsi="宋体" w:eastAsia="宋体"/>
                <w:bCs/>
                <w:szCs w:val="21"/>
              </w:rPr>
            </w:pPr>
            <w:r>
              <w:rPr>
                <w:rFonts w:hint="eastAsia" w:ascii="宋体" w:hAnsi="宋体" w:eastAsia="宋体"/>
                <w:bCs/>
                <w:szCs w:val="21"/>
              </w:rPr>
              <w:t>符合□不符合□</w:t>
            </w:r>
          </w:p>
        </w:tc>
      </w:tr>
      <w:tr w14:paraId="7691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5" w:type="dxa"/>
            <w:vMerge w:val="continue"/>
            <w:tcBorders>
              <w:left w:val="single" w:color="auto" w:sz="4" w:space="0"/>
              <w:right w:val="single" w:color="auto" w:sz="4" w:space="0"/>
            </w:tcBorders>
            <w:vAlign w:val="center"/>
          </w:tcPr>
          <w:p w14:paraId="19E45C51">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76085CED">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14:paraId="59782D96">
            <w:pPr>
              <w:rPr>
                <w:rFonts w:hint="eastAsia" w:ascii="宋体" w:hAnsi="宋体" w:eastAsia="宋体"/>
                <w:bCs/>
                <w:szCs w:val="21"/>
              </w:rPr>
            </w:pPr>
            <w:r>
              <w:rPr>
                <w:rFonts w:hint="eastAsia" w:ascii="宋体" w:hAnsi="宋体" w:eastAsia="宋体"/>
                <w:bCs/>
                <w:szCs w:val="21"/>
              </w:rPr>
              <w:t>模板支撑杆件无弯曲、变形、锈蚀严重情况</w:t>
            </w:r>
          </w:p>
        </w:tc>
        <w:tc>
          <w:tcPr>
            <w:tcW w:w="1727" w:type="dxa"/>
            <w:gridSpan w:val="2"/>
            <w:tcBorders>
              <w:top w:val="single" w:color="auto" w:sz="4" w:space="0"/>
              <w:left w:val="single" w:color="auto" w:sz="4" w:space="0"/>
              <w:bottom w:val="single" w:color="auto" w:sz="4" w:space="0"/>
              <w:right w:val="single" w:color="auto" w:sz="4" w:space="0"/>
            </w:tcBorders>
            <w:vAlign w:val="center"/>
          </w:tcPr>
          <w:p w14:paraId="58903790">
            <w:pPr>
              <w:rPr>
                <w:rFonts w:hint="eastAsia" w:ascii="宋体" w:hAnsi="宋体" w:eastAsia="宋体"/>
                <w:bCs/>
                <w:szCs w:val="21"/>
              </w:rPr>
            </w:pPr>
            <w:r>
              <w:rPr>
                <w:rFonts w:hint="eastAsia" w:ascii="宋体" w:hAnsi="宋体" w:eastAsia="宋体"/>
                <w:bCs/>
                <w:szCs w:val="21"/>
              </w:rPr>
              <w:t>符合□不符合□</w:t>
            </w:r>
          </w:p>
        </w:tc>
      </w:tr>
      <w:tr w14:paraId="3E45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2A890168">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7BD6F72E">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14:paraId="5B9622A6">
            <w:pPr>
              <w:rPr>
                <w:rFonts w:hint="eastAsia" w:ascii="宋体" w:hAnsi="宋体" w:eastAsia="宋体"/>
                <w:bCs/>
                <w:szCs w:val="21"/>
              </w:rPr>
            </w:pPr>
            <w:r>
              <w:rPr>
                <w:rFonts w:hint="eastAsia" w:ascii="宋体" w:hAnsi="宋体" w:eastAsia="宋体"/>
                <w:bCs/>
                <w:szCs w:val="21"/>
              </w:rPr>
              <w:t>模板支架的基础承载力和变形满足设计要求</w:t>
            </w:r>
          </w:p>
        </w:tc>
        <w:tc>
          <w:tcPr>
            <w:tcW w:w="1727" w:type="dxa"/>
            <w:gridSpan w:val="2"/>
            <w:tcBorders>
              <w:top w:val="single" w:color="auto" w:sz="4" w:space="0"/>
              <w:left w:val="single" w:color="auto" w:sz="4" w:space="0"/>
              <w:bottom w:val="single" w:color="auto" w:sz="4" w:space="0"/>
              <w:right w:val="single" w:color="auto" w:sz="4" w:space="0"/>
            </w:tcBorders>
            <w:vAlign w:val="center"/>
          </w:tcPr>
          <w:p w14:paraId="0AEF10B4">
            <w:pPr>
              <w:rPr>
                <w:rFonts w:hint="eastAsia" w:ascii="宋体" w:hAnsi="宋体" w:eastAsia="宋体"/>
                <w:bCs/>
                <w:szCs w:val="21"/>
              </w:rPr>
            </w:pPr>
            <w:r>
              <w:rPr>
                <w:rFonts w:hint="eastAsia" w:ascii="宋体" w:hAnsi="宋体" w:eastAsia="宋体"/>
                <w:bCs/>
                <w:szCs w:val="21"/>
              </w:rPr>
              <w:t>符合□不符合□</w:t>
            </w:r>
          </w:p>
        </w:tc>
      </w:tr>
      <w:tr w14:paraId="5F675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629FDB27">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44D96E66">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14:paraId="6EB4E025">
            <w:pPr>
              <w:rPr>
                <w:rFonts w:hint="eastAsia" w:ascii="宋体" w:hAnsi="宋体" w:eastAsia="宋体"/>
                <w:bCs/>
                <w:szCs w:val="21"/>
              </w:rPr>
            </w:pPr>
            <w:r>
              <w:rPr>
                <w:rFonts w:hint="eastAsia" w:ascii="宋体" w:hAnsi="宋体" w:eastAsia="宋体"/>
                <w:bCs/>
                <w:szCs w:val="21"/>
              </w:rPr>
              <w:t>支架设在楼面结构上时，应对楼面结构的承载力进行验算并在楼面结构下方采取加固措施</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502FD7">
            <w:pPr>
              <w:rPr>
                <w:rFonts w:hint="eastAsia" w:ascii="宋体" w:hAnsi="宋体" w:eastAsia="宋体"/>
                <w:bCs/>
                <w:szCs w:val="21"/>
              </w:rPr>
            </w:pPr>
            <w:r>
              <w:rPr>
                <w:rFonts w:hint="eastAsia" w:ascii="宋体" w:hAnsi="宋体" w:eastAsia="宋体"/>
                <w:bCs/>
                <w:szCs w:val="21"/>
              </w:rPr>
              <w:t>符合□不符合□</w:t>
            </w:r>
          </w:p>
        </w:tc>
      </w:tr>
      <w:tr w14:paraId="2B335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72810A56">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3AC1CEC6">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14:paraId="5EC17BC7">
            <w:pPr>
              <w:rPr>
                <w:rFonts w:hint="eastAsia" w:ascii="宋体" w:hAnsi="宋体" w:eastAsia="宋体"/>
                <w:bCs/>
                <w:szCs w:val="21"/>
              </w:rPr>
            </w:pPr>
            <w:r>
              <w:rPr>
                <w:rFonts w:hint="eastAsia" w:ascii="宋体" w:hAnsi="宋体" w:eastAsia="宋体"/>
                <w:bCs/>
                <w:szCs w:val="21"/>
              </w:rPr>
              <w:t>按规范要求设置剪刀撑和专用斜杆</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AD9D59">
            <w:pPr>
              <w:rPr>
                <w:rFonts w:hint="eastAsia" w:ascii="宋体" w:hAnsi="宋体" w:eastAsia="宋体"/>
                <w:bCs/>
                <w:szCs w:val="21"/>
              </w:rPr>
            </w:pPr>
            <w:r>
              <w:rPr>
                <w:rFonts w:hint="eastAsia" w:ascii="宋体" w:hAnsi="宋体" w:eastAsia="宋体"/>
                <w:bCs/>
                <w:szCs w:val="21"/>
              </w:rPr>
              <w:t>符合□不符合□</w:t>
            </w:r>
          </w:p>
        </w:tc>
      </w:tr>
      <w:tr w14:paraId="0DDC0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689C5C29">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173BB6DC">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14:paraId="47E4E722">
            <w:pPr>
              <w:rPr>
                <w:rFonts w:hint="eastAsia" w:ascii="宋体" w:hAnsi="宋体" w:eastAsia="宋体"/>
                <w:bCs/>
                <w:szCs w:val="21"/>
              </w:rPr>
            </w:pPr>
            <w:r>
              <w:rPr>
                <w:rFonts w:hint="eastAsia" w:ascii="宋体" w:hAnsi="宋体" w:eastAsia="宋体"/>
                <w:bCs/>
                <w:szCs w:val="21"/>
              </w:rPr>
              <w:t>滑模、爬模、顶模、空中造楼机及其他创新型施工工艺，其主体结构稳定</w:t>
            </w:r>
            <w:bookmarkStart w:id="0" w:name="_GoBack"/>
            <w:bookmarkEnd w:id="0"/>
            <w:r>
              <w:rPr>
                <w:rFonts w:hint="eastAsia" w:ascii="宋体" w:hAnsi="宋体" w:eastAsia="宋体"/>
                <w:bCs/>
                <w:szCs w:val="21"/>
              </w:rPr>
              <w:t>性、模板与支撑系统、液压与动力系统、安全防护设施、环保及耐久设计等应满足专项方案及规范要求</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6A90E9">
            <w:pPr>
              <w:rPr>
                <w:rFonts w:hint="eastAsia" w:ascii="宋体" w:hAnsi="宋体" w:eastAsia="宋体"/>
                <w:bCs/>
                <w:szCs w:val="21"/>
              </w:rPr>
            </w:pPr>
            <w:r>
              <w:rPr>
                <w:rFonts w:hint="eastAsia" w:ascii="宋体" w:hAnsi="宋体" w:eastAsia="宋体"/>
                <w:bCs/>
                <w:szCs w:val="21"/>
              </w:rPr>
              <w:t>符合□不符合□</w:t>
            </w:r>
          </w:p>
        </w:tc>
      </w:tr>
      <w:tr w14:paraId="4FD70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532DDC20">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4D36817B">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14:paraId="6EF7AEEC">
            <w:pPr>
              <w:rPr>
                <w:rFonts w:hint="eastAsia" w:ascii="宋体" w:hAnsi="宋体" w:eastAsia="宋体"/>
                <w:bCs/>
                <w:szCs w:val="21"/>
              </w:rPr>
            </w:pPr>
            <w:r>
              <w:rPr>
                <w:rFonts w:hint="eastAsia" w:ascii="宋体" w:hAnsi="宋体" w:eastAsia="宋体"/>
                <w:bCs/>
                <w:szCs w:val="21"/>
              </w:rPr>
              <w:t>当支架高宽比大于规定值时，应按规定采取与建筑物结构刚性连接或增加架体宽度等措施</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5DB8A9">
            <w:pPr>
              <w:rPr>
                <w:rFonts w:hint="eastAsia" w:ascii="宋体" w:hAnsi="宋体" w:eastAsia="宋体"/>
                <w:bCs/>
                <w:szCs w:val="21"/>
              </w:rPr>
            </w:pPr>
            <w:r>
              <w:rPr>
                <w:rFonts w:hint="eastAsia" w:ascii="宋体" w:hAnsi="宋体" w:eastAsia="宋体"/>
                <w:bCs/>
                <w:szCs w:val="21"/>
              </w:rPr>
              <w:t>符合□不符合□</w:t>
            </w:r>
          </w:p>
        </w:tc>
      </w:tr>
      <w:tr w14:paraId="1D2C1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368B5F3E">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6C2440D9">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14:paraId="3A67018B">
            <w:pPr>
              <w:rPr>
                <w:rFonts w:hint="eastAsia" w:ascii="宋体" w:hAnsi="宋体" w:eastAsia="宋体"/>
                <w:bCs/>
                <w:szCs w:val="21"/>
              </w:rPr>
            </w:pPr>
            <w:r>
              <w:rPr>
                <w:rFonts w:hint="eastAsia" w:ascii="宋体" w:hAnsi="宋体" w:eastAsia="宋体"/>
                <w:bCs/>
                <w:szCs w:val="21"/>
              </w:rPr>
              <w:t>危险性较大的混凝土模板支撑工程按专项施工方案要求的顺序或分层厚度浇筑混凝土</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B1F24D">
            <w:pPr>
              <w:rPr>
                <w:rFonts w:hint="eastAsia" w:ascii="宋体" w:hAnsi="宋体" w:eastAsia="宋体"/>
                <w:bCs/>
                <w:szCs w:val="21"/>
              </w:rPr>
            </w:pPr>
            <w:r>
              <w:rPr>
                <w:rFonts w:hint="eastAsia" w:ascii="宋体" w:hAnsi="宋体" w:eastAsia="宋体"/>
                <w:bCs/>
                <w:szCs w:val="21"/>
              </w:rPr>
              <w:t>符合□不符合□</w:t>
            </w:r>
          </w:p>
        </w:tc>
      </w:tr>
      <w:tr w14:paraId="3792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3AF052CB">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742533CD">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14:paraId="314B5A1E">
            <w:pPr>
              <w:rPr>
                <w:rFonts w:hint="eastAsia" w:ascii="宋体" w:hAnsi="宋体" w:eastAsia="宋体"/>
                <w:bCs/>
                <w:szCs w:val="21"/>
              </w:rPr>
            </w:pPr>
            <w:r>
              <w:rPr>
                <w:rFonts w:hint="eastAsia" w:ascii="宋体" w:hAnsi="宋体" w:eastAsia="宋体"/>
                <w:bCs/>
                <w:szCs w:val="21"/>
              </w:rPr>
              <w:t>滑模、爬模、顶模、空中造楼机等与结构连接位置应牢固可靠，爬升过程中不得出现晃动或倾斜</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375B99">
            <w:pPr>
              <w:rPr>
                <w:rFonts w:hint="eastAsia" w:ascii="宋体" w:hAnsi="宋体" w:eastAsia="宋体"/>
                <w:bCs/>
                <w:szCs w:val="21"/>
              </w:rPr>
            </w:pPr>
            <w:r>
              <w:rPr>
                <w:rFonts w:hint="eastAsia" w:ascii="宋体" w:hAnsi="宋体" w:eastAsia="宋体"/>
                <w:bCs/>
                <w:szCs w:val="21"/>
              </w:rPr>
              <w:t>符合□不符合□</w:t>
            </w:r>
          </w:p>
        </w:tc>
      </w:tr>
      <w:tr w14:paraId="18C3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402A9EAC">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2E2F08BC">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14:paraId="7FCA6070">
            <w:pPr>
              <w:rPr>
                <w:rFonts w:hint="eastAsia" w:ascii="宋体" w:hAnsi="宋体" w:eastAsia="宋体"/>
                <w:bCs/>
                <w:szCs w:val="21"/>
              </w:rPr>
            </w:pPr>
            <w:r>
              <w:rPr>
                <w:rFonts w:hint="eastAsia" w:ascii="宋体" w:hAnsi="宋体" w:eastAsia="宋体"/>
                <w:bCs/>
                <w:szCs w:val="21"/>
              </w:rPr>
              <w:t>施工荷载未超过设计规定</w:t>
            </w:r>
          </w:p>
        </w:tc>
        <w:tc>
          <w:tcPr>
            <w:tcW w:w="1727" w:type="dxa"/>
            <w:gridSpan w:val="2"/>
            <w:tcBorders>
              <w:top w:val="single" w:color="auto" w:sz="4" w:space="0"/>
              <w:left w:val="single" w:color="auto" w:sz="4" w:space="0"/>
              <w:bottom w:val="single" w:color="auto" w:sz="4" w:space="0"/>
              <w:right w:val="single" w:color="auto" w:sz="4" w:space="0"/>
            </w:tcBorders>
            <w:vAlign w:val="center"/>
          </w:tcPr>
          <w:p w14:paraId="01A3F1E3">
            <w:pPr>
              <w:rPr>
                <w:rFonts w:hint="eastAsia" w:ascii="宋体" w:hAnsi="宋体" w:eastAsia="宋体"/>
                <w:bCs/>
                <w:szCs w:val="21"/>
              </w:rPr>
            </w:pPr>
            <w:r>
              <w:rPr>
                <w:rFonts w:hint="eastAsia" w:ascii="宋体" w:hAnsi="宋体" w:eastAsia="宋体"/>
                <w:bCs/>
                <w:szCs w:val="21"/>
              </w:rPr>
              <w:t>符合□不符合□</w:t>
            </w:r>
          </w:p>
        </w:tc>
      </w:tr>
      <w:tr w14:paraId="1739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7D7CA6D0">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58DFB47F">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14:paraId="34229B9B">
            <w:pPr>
              <w:rPr>
                <w:rFonts w:hint="default" w:ascii="宋体" w:hAnsi="宋体" w:eastAsia="宋体"/>
                <w:bCs/>
                <w:szCs w:val="21"/>
                <w:lang w:val="en-US" w:eastAsia="zh-CN"/>
              </w:rPr>
            </w:pPr>
            <w:r>
              <w:rPr>
                <w:rFonts w:hint="eastAsia" w:ascii="宋体" w:hAnsi="宋体" w:eastAsia="宋体"/>
                <w:bCs/>
                <w:szCs w:val="21"/>
                <w:highlight w:val="none"/>
              </w:rPr>
              <w:t>架体</w:t>
            </w:r>
            <w:r>
              <w:rPr>
                <w:rFonts w:hint="eastAsia" w:ascii="宋体" w:hAnsi="宋体" w:eastAsia="宋体"/>
                <w:bCs/>
                <w:szCs w:val="21"/>
                <w:highlight w:val="none"/>
                <w:lang w:val="en-US" w:eastAsia="zh-CN"/>
              </w:rPr>
              <w:t>搭设完毕应办理验收手续</w:t>
            </w:r>
          </w:p>
        </w:tc>
        <w:tc>
          <w:tcPr>
            <w:tcW w:w="1727" w:type="dxa"/>
            <w:gridSpan w:val="2"/>
            <w:tcBorders>
              <w:top w:val="single" w:color="auto" w:sz="4" w:space="0"/>
              <w:left w:val="single" w:color="auto" w:sz="4" w:space="0"/>
              <w:bottom w:val="single" w:color="auto" w:sz="4" w:space="0"/>
              <w:right w:val="single" w:color="auto" w:sz="4" w:space="0"/>
            </w:tcBorders>
            <w:vAlign w:val="center"/>
          </w:tcPr>
          <w:p w14:paraId="1DDDB0A0">
            <w:pPr>
              <w:rPr>
                <w:rFonts w:hint="eastAsia" w:ascii="宋体" w:hAnsi="宋体" w:eastAsia="宋体"/>
                <w:bCs/>
                <w:szCs w:val="21"/>
              </w:rPr>
            </w:pPr>
            <w:r>
              <w:rPr>
                <w:rFonts w:hint="eastAsia" w:ascii="宋体" w:hAnsi="宋体" w:eastAsia="宋体"/>
                <w:bCs/>
                <w:szCs w:val="21"/>
              </w:rPr>
              <w:t>符合□不符合□</w:t>
            </w:r>
          </w:p>
        </w:tc>
      </w:tr>
      <w:tr w14:paraId="188E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17D890E6">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0EAFBCC7">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14:paraId="1FA5C8C5">
            <w:pPr>
              <w:rPr>
                <w:rFonts w:hint="eastAsia" w:ascii="宋体" w:hAnsi="宋体" w:eastAsia="宋体"/>
                <w:bCs/>
                <w:szCs w:val="21"/>
              </w:rPr>
            </w:pPr>
            <w:r>
              <w:rPr>
                <w:rFonts w:hint="eastAsia" w:ascii="宋体" w:hAnsi="宋体" w:eastAsia="宋体"/>
                <w:bCs/>
                <w:szCs w:val="21"/>
              </w:rPr>
              <w:t>模板支架拆除及滑模、爬模爬升时，混凝土强度应达到设计或规范要求</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948953">
            <w:pPr>
              <w:rPr>
                <w:rFonts w:hint="eastAsia" w:ascii="宋体" w:hAnsi="宋体" w:eastAsia="宋体"/>
                <w:bCs/>
                <w:szCs w:val="21"/>
              </w:rPr>
            </w:pPr>
            <w:r>
              <w:rPr>
                <w:rFonts w:hint="eastAsia" w:ascii="宋体" w:hAnsi="宋体" w:eastAsia="宋体"/>
                <w:bCs/>
                <w:szCs w:val="21"/>
              </w:rPr>
              <w:t>符合□不符合□</w:t>
            </w:r>
          </w:p>
        </w:tc>
      </w:tr>
      <w:tr w14:paraId="27DE9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66E783A7">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2F9C4D70">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14:paraId="6CA587A8">
            <w:pPr>
              <w:rPr>
                <w:rFonts w:hint="eastAsia" w:ascii="宋体" w:hAnsi="宋体" w:eastAsia="宋体"/>
                <w:bCs/>
                <w:szCs w:val="21"/>
              </w:rPr>
            </w:pPr>
            <w:r>
              <w:rPr>
                <w:rFonts w:hint="eastAsia" w:ascii="宋体" w:hAnsi="宋体" w:eastAsia="宋体"/>
                <w:bCs/>
                <w:szCs w:val="21"/>
              </w:rPr>
              <w:t>专业分包单位应具有相应资质和安全生产许可证</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8E17A8">
            <w:pPr>
              <w:rPr>
                <w:rFonts w:hint="eastAsia" w:ascii="宋体" w:hAnsi="宋体" w:eastAsia="宋体"/>
                <w:bCs/>
                <w:szCs w:val="21"/>
              </w:rPr>
            </w:pPr>
            <w:r>
              <w:rPr>
                <w:rFonts w:hint="eastAsia" w:ascii="宋体" w:hAnsi="宋体" w:eastAsia="宋体"/>
                <w:bCs/>
                <w:szCs w:val="21"/>
              </w:rPr>
              <w:t>符合□不符合□</w:t>
            </w:r>
          </w:p>
        </w:tc>
      </w:tr>
      <w:tr w14:paraId="3BE6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bottom w:val="single" w:color="auto" w:sz="4" w:space="0"/>
              <w:right w:val="single" w:color="auto" w:sz="4" w:space="0"/>
            </w:tcBorders>
            <w:vAlign w:val="center"/>
          </w:tcPr>
          <w:p w14:paraId="6CB15F07">
            <w:pPr>
              <w:rPr>
                <w:rFonts w:hint="eastAsia" w:ascii="宋体" w:hAnsi="宋体" w:eastAsia="宋体"/>
                <w:bCs/>
                <w:szCs w:val="21"/>
              </w:rPr>
            </w:pPr>
          </w:p>
        </w:tc>
        <w:tc>
          <w:tcPr>
            <w:tcW w:w="1129" w:type="dxa"/>
            <w:vMerge w:val="continue"/>
            <w:tcBorders>
              <w:left w:val="single" w:color="auto" w:sz="4" w:space="0"/>
              <w:bottom w:val="single" w:color="auto" w:sz="4" w:space="0"/>
              <w:right w:val="single" w:color="auto" w:sz="4" w:space="0"/>
            </w:tcBorders>
            <w:vAlign w:val="center"/>
          </w:tcPr>
          <w:p w14:paraId="052F6C16">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14:paraId="7B660BC5">
            <w:pPr>
              <w:rPr>
                <w:rFonts w:hint="eastAsia" w:ascii="宋体" w:hAnsi="宋体" w:eastAsia="宋体"/>
                <w:bCs/>
                <w:szCs w:val="21"/>
              </w:rPr>
            </w:pPr>
            <w:r>
              <w:rPr>
                <w:rFonts w:hint="eastAsia" w:ascii="宋体" w:hAnsi="宋体" w:eastAsia="宋体"/>
                <w:bCs/>
                <w:szCs w:val="21"/>
              </w:rPr>
              <w:t>特种作业人员应持证上岗</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22F600">
            <w:pPr>
              <w:rPr>
                <w:rFonts w:hint="eastAsia" w:ascii="宋体" w:hAnsi="宋体" w:eastAsia="宋体"/>
                <w:bCs/>
                <w:szCs w:val="21"/>
              </w:rPr>
            </w:pPr>
            <w:r>
              <w:rPr>
                <w:rFonts w:hint="eastAsia" w:ascii="宋体" w:hAnsi="宋体" w:eastAsia="宋体"/>
                <w:bCs/>
                <w:szCs w:val="21"/>
              </w:rPr>
              <w:t>符合□不符合□</w:t>
            </w:r>
          </w:p>
        </w:tc>
      </w:tr>
      <w:tr w14:paraId="12A9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restart"/>
            <w:tcBorders>
              <w:top w:val="nil"/>
              <w:left w:val="single" w:color="auto" w:sz="4" w:space="0"/>
              <w:bottom w:val="single" w:color="auto" w:sz="4" w:space="0"/>
              <w:right w:val="single" w:color="auto" w:sz="4" w:space="0"/>
            </w:tcBorders>
            <w:vAlign w:val="center"/>
          </w:tcPr>
          <w:p w14:paraId="1E95B3E6">
            <w:pPr>
              <w:rPr>
                <w:rFonts w:hint="eastAsia" w:ascii="宋体" w:hAnsi="宋体" w:eastAsia="宋体"/>
                <w:bCs/>
                <w:szCs w:val="21"/>
              </w:rPr>
            </w:pPr>
            <w:r>
              <w:rPr>
                <w:rFonts w:hint="eastAsia" w:ascii="宋体" w:hAnsi="宋体" w:eastAsia="宋体"/>
                <w:bCs/>
                <w:szCs w:val="21"/>
              </w:rPr>
              <w:t>序号</w:t>
            </w:r>
          </w:p>
        </w:tc>
        <w:tc>
          <w:tcPr>
            <w:tcW w:w="1129" w:type="dxa"/>
            <w:vMerge w:val="restart"/>
            <w:tcBorders>
              <w:top w:val="nil"/>
              <w:left w:val="single" w:color="auto" w:sz="4" w:space="0"/>
              <w:bottom w:val="single" w:color="auto" w:sz="4" w:space="0"/>
              <w:right w:val="single" w:color="auto" w:sz="4" w:space="0"/>
            </w:tcBorders>
            <w:vAlign w:val="center"/>
          </w:tcPr>
          <w:p w14:paraId="0654E858">
            <w:pPr>
              <w:rPr>
                <w:rFonts w:hint="eastAsia" w:ascii="宋体" w:hAnsi="宋体" w:eastAsia="宋体"/>
                <w:bCs/>
                <w:szCs w:val="21"/>
              </w:rPr>
            </w:pPr>
            <w:r>
              <w:rPr>
                <w:rFonts w:hint="eastAsia" w:ascii="宋体" w:hAnsi="宋体" w:eastAsia="宋体"/>
                <w:bCs/>
                <w:szCs w:val="21"/>
              </w:rPr>
              <w:t>评分项目</w:t>
            </w:r>
          </w:p>
        </w:tc>
        <w:tc>
          <w:tcPr>
            <w:tcW w:w="5360" w:type="dxa"/>
            <w:vMerge w:val="restart"/>
            <w:tcBorders>
              <w:top w:val="nil"/>
              <w:left w:val="single" w:color="auto" w:sz="4" w:space="0"/>
              <w:bottom w:val="single" w:color="auto" w:sz="4" w:space="0"/>
              <w:right w:val="single" w:color="auto" w:sz="4" w:space="0"/>
            </w:tcBorders>
            <w:vAlign w:val="center"/>
          </w:tcPr>
          <w:p w14:paraId="52619440">
            <w:pPr>
              <w:jc w:val="center"/>
              <w:rPr>
                <w:rFonts w:hint="eastAsia" w:ascii="宋体" w:hAnsi="宋体" w:eastAsia="宋体"/>
                <w:bCs/>
                <w:szCs w:val="21"/>
              </w:rPr>
            </w:pPr>
            <w:r>
              <w:rPr>
                <w:rFonts w:hint="eastAsia" w:ascii="宋体" w:hAnsi="宋体" w:eastAsia="宋体"/>
                <w:bCs/>
                <w:szCs w:val="21"/>
              </w:rPr>
              <w:t>扣分标准</w:t>
            </w:r>
          </w:p>
        </w:tc>
        <w:tc>
          <w:tcPr>
            <w:tcW w:w="1727" w:type="dxa"/>
            <w:gridSpan w:val="2"/>
            <w:tcBorders>
              <w:top w:val="single" w:color="auto" w:sz="4" w:space="0"/>
              <w:left w:val="single" w:color="auto" w:sz="4" w:space="0"/>
              <w:bottom w:val="single" w:color="auto" w:sz="4" w:space="0"/>
              <w:right w:val="single" w:color="auto" w:sz="4" w:space="0"/>
            </w:tcBorders>
            <w:vAlign w:val="center"/>
          </w:tcPr>
          <w:p w14:paraId="6B3421DA">
            <w:pPr>
              <w:jc w:val="center"/>
              <w:rPr>
                <w:rFonts w:hint="eastAsia" w:ascii="宋体" w:hAnsi="宋体" w:eastAsia="宋体"/>
                <w:bCs/>
                <w:szCs w:val="21"/>
              </w:rPr>
            </w:pPr>
            <w:r>
              <w:rPr>
                <w:rFonts w:hint="eastAsia" w:ascii="宋体" w:hAnsi="宋体" w:eastAsia="宋体"/>
                <w:bCs/>
                <w:szCs w:val="21"/>
              </w:rPr>
              <w:t>评价得分</w:t>
            </w:r>
          </w:p>
        </w:tc>
      </w:tr>
      <w:tr w14:paraId="058F9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top w:val="nil"/>
              <w:left w:val="single" w:color="auto" w:sz="4" w:space="0"/>
              <w:bottom w:val="single" w:color="auto" w:sz="4" w:space="0"/>
              <w:right w:val="single" w:color="auto" w:sz="4" w:space="0"/>
            </w:tcBorders>
            <w:vAlign w:val="center"/>
          </w:tcPr>
          <w:p w14:paraId="2255C236">
            <w:pPr>
              <w:rPr>
                <w:rFonts w:hint="eastAsia" w:ascii="宋体" w:hAnsi="宋体" w:eastAsia="宋体"/>
                <w:bCs/>
                <w:szCs w:val="21"/>
              </w:rPr>
            </w:pPr>
          </w:p>
        </w:tc>
        <w:tc>
          <w:tcPr>
            <w:tcW w:w="1129" w:type="dxa"/>
            <w:vMerge w:val="continue"/>
            <w:tcBorders>
              <w:top w:val="nil"/>
              <w:left w:val="single" w:color="auto" w:sz="4" w:space="0"/>
              <w:bottom w:val="single" w:color="auto" w:sz="4" w:space="0"/>
              <w:right w:val="single" w:color="auto" w:sz="4" w:space="0"/>
            </w:tcBorders>
            <w:vAlign w:val="center"/>
          </w:tcPr>
          <w:p w14:paraId="68A562A4">
            <w:pPr>
              <w:rPr>
                <w:rFonts w:hint="eastAsia" w:ascii="宋体" w:hAnsi="宋体" w:eastAsia="宋体"/>
                <w:bCs/>
                <w:szCs w:val="21"/>
              </w:rPr>
            </w:pPr>
          </w:p>
        </w:tc>
        <w:tc>
          <w:tcPr>
            <w:tcW w:w="5360" w:type="dxa"/>
            <w:vMerge w:val="continue"/>
            <w:tcBorders>
              <w:top w:val="nil"/>
              <w:left w:val="single" w:color="auto" w:sz="4" w:space="0"/>
              <w:bottom w:val="single" w:color="auto" w:sz="4" w:space="0"/>
              <w:right w:val="single" w:color="auto" w:sz="4" w:space="0"/>
            </w:tcBorders>
            <w:vAlign w:val="center"/>
          </w:tcPr>
          <w:p w14:paraId="2B4CB01E">
            <w:pPr>
              <w:rPr>
                <w:rFonts w:hint="eastAsia" w:ascii="宋体" w:hAnsi="宋体" w:eastAsia="宋体"/>
                <w:bCs/>
                <w:szCs w:val="21"/>
              </w:rPr>
            </w:pPr>
          </w:p>
        </w:tc>
        <w:tc>
          <w:tcPr>
            <w:tcW w:w="877" w:type="dxa"/>
            <w:tcBorders>
              <w:top w:val="single" w:color="auto" w:sz="4" w:space="0"/>
              <w:left w:val="single" w:color="auto" w:sz="4" w:space="0"/>
              <w:bottom w:val="single" w:color="auto" w:sz="4" w:space="0"/>
              <w:right w:val="single" w:color="auto" w:sz="4" w:space="0"/>
            </w:tcBorders>
            <w:vAlign w:val="center"/>
          </w:tcPr>
          <w:p w14:paraId="7407FAE2">
            <w:pPr>
              <w:rPr>
                <w:rFonts w:hint="eastAsia" w:ascii="宋体" w:hAnsi="宋体" w:eastAsia="宋体"/>
                <w:bCs/>
                <w:szCs w:val="21"/>
              </w:rPr>
            </w:pPr>
            <w:r>
              <w:rPr>
                <w:rFonts w:hint="eastAsia" w:ascii="宋体" w:hAnsi="宋体" w:eastAsia="宋体"/>
                <w:bCs/>
                <w:szCs w:val="21"/>
              </w:rPr>
              <w:t>应得分</w:t>
            </w:r>
          </w:p>
        </w:tc>
        <w:tc>
          <w:tcPr>
            <w:tcW w:w="850" w:type="dxa"/>
            <w:tcBorders>
              <w:top w:val="single" w:color="auto" w:sz="4" w:space="0"/>
              <w:left w:val="single" w:color="auto" w:sz="4" w:space="0"/>
              <w:bottom w:val="single" w:color="auto" w:sz="4" w:space="0"/>
              <w:right w:val="single" w:color="auto" w:sz="4" w:space="0"/>
            </w:tcBorders>
            <w:vAlign w:val="center"/>
          </w:tcPr>
          <w:p w14:paraId="035CDEAA">
            <w:pPr>
              <w:rPr>
                <w:rFonts w:hint="eastAsia" w:ascii="宋体" w:hAnsi="宋体" w:eastAsia="宋体"/>
                <w:bCs/>
                <w:szCs w:val="21"/>
              </w:rPr>
            </w:pPr>
            <w:r>
              <w:rPr>
                <w:rFonts w:hint="eastAsia" w:ascii="宋体" w:hAnsi="宋体" w:eastAsia="宋体"/>
                <w:bCs/>
                <w:szCs w:val="21"/>
              </w:rPr>
              <w:t>实得分</w:t>
            </w:r>
          </w:p>
        </w:tc>
      </w:tr>
      <w:tr w14:paraId="7C54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14:paraId="56C87438">
            <w:pPr>
              <w:rPr>
                <w:rFonts w:hint="eastAsia" w:ascii="宋体" w:hAnsi="宋体" w:eastAsia="宋体"/>
                <w:bCs/>
                <w:szCs w:val="21"/>
              </w:rPr>
            </w:pPr>
            <w:r>
              <w:rPr>
                <w:rFonts w:hint="eastAsia" w:ascii="宋体" w:hAnsi="宋体" w:eastAsia="宋体"/>
                <w:bCs/>
                <w:szCs w:val="21"/>
              </w:rPr>
              <w:t>1</w:t>
            </w:r>
          </w:p>
        </w:tc>
        <w:tc>
          <w:tcPr>
            <w:tcW w:w="1129" w:type="dxa"/>
            <w:tcBorders>
              <w:top w:val="single" w:color="auto" w:sz="4" w:space="0"/>
              <w:left w:val="single" w:color="auto" w:sz="4" w:space="0"/>
              <w:bottom w:val="single" w:color="auto" w:sz="4" w:space="0"/>
              <w:right w:val="single" w:color="auto" w:sz="4" w:space="0"/>
            </w:tcBorders>
            <w:vAlign w:val="center"/>
          </w:tcPr>
          <w:p w14:paraId="56DE4E0A">
            <w:pPr>
              <w:rPr>
                <w:rFonts w:hint="eastAsia" w:ascii="宋体" w:hAnsi="宋体" w:eastAsia="宋体"/>
                <w:bCs/>
                <w:szCs w:val="21"/>
              </w:rPr>
            </w:pPr>
            <w:r>
              <w:rPr>
                <w:rFonts w:hint="eastAsia" w:ascii="宋体" w:hAnsi="宋体" w:eastAsia="宋体"/>
                <w:bCs/>
                <w:szCs w:val="21"/>
              </w:rPr>
              <w:t>构配件和材质</w:t>
            </w:r>
          </w:p>
        </w:tc>
        <w:tc>
          <w:tcPr>
            <w:tcW w:w="5360" w:type="dxa"/>
            <w:tcBorders>
              <w:top w:val="single" w:color="auto" w:sz="4" w:space="0"/>
              <w:left w:val="single" w:color="auto" w:sz="4" w:space="0"/>
              <w:bottom w:val="single" w:color="auto" w:sz="4" w:space="0"/>
              <w:right w:val="single" w:color="auto" w:sz="4" w:space="0"/>
            </w:tcBorders>
            <w:vAlign w:val="center"/>
          </w:tcPr>
          <w:p w14:paraId="1E04A11C">
            <w:pPr>
              <w:rPr>
                <w:rFonts w:hint="default" w:ascii="宋体" w:hAnsi="宋体" w:eastAsia="宋体"/>
                <w:bCs/>
                <w:szCs w:val="21"/>
                <w:lang w:val="en-US" w:eastAsia="zh-CN"/>
              </w:rPr>
            </w:pPr>
            <w:r>
              <w:rPr>
                <w:rFonts w:hint="eastAsia" w:ascii="宋体" w:hAnsi="宋体" w:eastAsia="宋体" w:cs="宋体"/>
                <w:bCs/>
                <w:sz w:val="21"/>
                <w:szCs w:val="21"/>
                <w:highlight w:val="none"/>
                <w:lang w:val="en-US" w:eastAsia="zh-CN"/>
              </w:rPr>
              <w:t>模板工程材料的</w:t>
            </w:r>
            <w:r>
              <w:rPr>
                <w:rFonts w:hint="eastAsia" w:ascii="宋体" w:hAnsi="宋体" w:eastAsia="宋体" w:cs="宋体"/>
                <w:bCs/>
                <w:sz w:val="21"/>
                <w:szCs w:val="21"/>
                <w:highlight w:val="none"/>
              </w:rPr>
              <w:t>规格、型号、材质</w:t>
            </w:r>
            <w:r>
              <w:rPr>
                <w:rFonts w:hint="eastAsia" w:ascii="宋体" w:hAnsi="宋体" w:eastAsia="宋体" w:cs="宋体"/>
                <w:bCs/>
                <w:sz w:val="21"/>
                <w:szCs w:val="21"/>
                <w:highlight w:val="none"/>
                <w:lang w:val="en-US" w:eastAsia="zh-CN"/>
              </w:rPr>
              <w:t>不符合现行</w:t>
            </w:r>
            <w:r>
              <w:rPr>
                <w:rFonts w:hint="eastAsia" w:ascii="宋体" w:hAnsi="宋体" w:eastAsia="宋体" w:cs="宋体"/>
                <w:bCs/>
                <w:sz w:val="21"/>
                <w:szCs w:val="21"/>
                <w:highlight w:val="none"/>
              </w:rPr>
              <w:t>规范</w:t>
            </w:r>
            <w:r>
              <w:rPr>
                <w:rFonts w:hint="eastAsia" w:ascii="宋体" w:hAnsi="宋体" w:eastAsia="宋体" w:cs="宋体"/>
                <w:bCs/>
                <w:sz w:val="21"/>
                <w:szCs w:val="21"/>
                <w:highlight w:val="none"/>
                <w:lang w:val="en-US" w:eastAsia="zh-CN"/>
              </w:rPr>
              <w:t>标准及方案</w:t>
            </w:r>
            <w:r>
              <w:rPr>
                <w:rFonts w:hint="eastAsia" w:ascii="宋体" w:hAnsi="宋体" w:eastAsia="宋体" w:cs="宋体"/>
                <w:bCs/>
                <w:sz w:val="21"/>
                <w:szCs w:val="21"/>
                <w:highlight w:val="none"/>
              </w:rPr>
              <w:t>要求</w:t>
            </w:r>
            <w:r>
              <w:rPr>
                <w:rFonts w:hint="eastAsia" w:ascii="宋体" w:hAnsi="宋体" w:eastAsia="宋体" w:cs="宋体"/>
                <w:bCs/>
                <w:sz w:val="21"/>
                <w:szCs w:val="21"/>
                <w:highlight w:val="none"/>
                <w:lang w:eastAsia="zh-CN"/>
              </w:rPr>
              <w:t>，</w:t>
            </w:r>
            <w:r>
              <w:rPr>
                <w:rFonts w:hint="eastAsia" w:ascii="宋体" w:hAnsi="宋体" w:eastAsia="宋体" w:cs="宋体"/>
                <w:bCs/>
                <w:sz w:val="21"/>
                <w:szCs w:val="21"/>
                <w:highlight w:val="none"/>
                <w:lang w:val="en-US" w:eastAsia="zh-CN"/>
              </w:rPr>
              <w:t>每处扣5分</w:t>
            </w:r>
          </w:p>
        </w:tc>
        <w:tc>
          <w:tcPr>
            <w:tcW w:w="877" w:type="dxa"/>
            <w:tcBorders>
              <w:top w:val="single" w:color="auto" w:sz="4" w:space="0"/>
              <w:left w:val="single" w:color="auto" w:sz="4" w:space="0"/>
              <w:bottom w:val="single" w:color="auto" w:sz="4" w:space="0"/>
              <w:right w:val="single" w:color="auto" w:sz="4" w:space="0"/>
            </w:tcBorders>
            <w:vAlign w:val="center"/>
          </w:tcPr>
          <w:p w14:paraId="22B08595">
            <w:pPr>
              <w:rPr>
                <w:rFonts w:hint="eastAsia" w:ascii="宋体" w:hAnsi="宋体" w:eastAsia="宋体"/>
                <w:bCs/>
                <w:szCs w:val="21"/>
              </w:rPr>
            </w:pPr>
            <w:r>
              <w:rPr>
                <w:rFonts w:hint="eastAsia" w:ascii="宋体" w:hAnsi="宋体" w:eastAsia="宋体"/>
                <w:bCs/>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14:paraId="79C8153E">
            <w:pPr>
              <w:rPr>
                <w:rFonts w:hint="eastAsia" w:ascii="宋体" w:hAnsi="宋体" w:eastAsia="宋体"/>
                <w:bCs/>
                <w:szCs w:val="21"/>
              </w:rPr>
            </w:pPr>
          </w:p>
        </w:tc>
      </w:tr>
      <w:tr w14:paraId="6CC1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14:paraId="24974026">
            <w:pPr>
              <w:rPr>
                <w:rFonts w:hint="eastAsia" w:ascii="宋体" w:hAnsi="宋体" w:eastAsia="宋体"/>
                <w:bCs/>
                <w:szCs w:val="21"/>
              </w:rPr>
            </w:pPr>
            <w:r>
              <w:rPr>
                <w:rFonts w:hint="eastAsia" w:ascii="宋体" w:hAnsi="宋体" w:eastAsia="宋体"/>
                <w:bCs/>
                <w:szCs w:val="21"/>
              </w:rPr>
              <w:t>2</w:t>
            </w:r>
          </w:p>
        </w:tc>
        <w:tc>
          <w:tcPr>
            <w:tcW w:w="1129" w:type="dxa"/>
            <w:tcBorders>
              <w:top w:val="single" w:color="auto" w:sz="4" w:space="0"/>
              <w:left w:val="single" w:color="auto" w:sz="4" w:space="0"/>
              <w:bottom w:val="single" w:color="auto" w:sz="4" w:space="0"/>
              <w:right w:val="single" w:color="auto" w:sz="4" w:space="0"/>
            </w:tcBorders>
            <w:vAlign w:val="center"/>
          </w:tcPr>
          <w:p w14:paraId="35C40431">
            <w:pPr>
              <w:rPr>
                <w:rFonts w:hint="eastAsia" w:ascii="宋体" w:hAnsi="宋体" w:eastAsia="宋体"/>
                <w:bCs/>
                <w:szCs w:val="21"/>
              </w:rPr>
            </w:pPr>
            <w:r>
              <w:rPr>
                <w:rFonts w:hint="eastAsia" w:ascii="宋体" w:hAnsi="宋体" w:eastAsia="宋体"/>
                <w:bCs/>
                <w:szCs w:val="21"/>
              </w:rPr>
              <w:t>基础与</w:t>
            </w:r>
          </w:p>
          <w:p w14:paraId="0E9A96B1">
            <w:pPr>
              <w:rPr>
                <w:rFonts w:hint="eastAsia" w:ascii="宋体" w:hAnsi="宋体" w:eastAsia="宋体"/>
                <w:bCs/>
                <w:szCs w:val="21"/>
              </w:rPr>
            </w:pPr>
            <w:r>
              <w:rPr>
                <w:rFonts w:hint="eastAsia" w:ascii="宋体" w:hAnsi="宋体" w:eastAsia="宋体"/>
                <w:bCs/>
                <w:szCs w:val="21"/>
              </w:rPr>
              <w:t>构造</w:t>
            </w:r>
          </w:p>
        </w:tc>
        <w:tc>
          <w:tcPr>
            <w:tcW w:w="5360" w:type="dxa"/>
            <w:tcBorders>
              <w:top w:val="single" w:color="auto" w:sz="4" w:space="0"/>
              <w:left w:val="single" w:color="auto" w:sz="4" w:space="0"/>
              <w:bottom w:val="single" w:color="auto" w:sz="4" w:space="0"/>
              <w:right w:val="single" w:color="auto" w:sz="4" w:space="0"/>
            </w:tcBorders>
            <w:vAlign w:val="center"/>
          </w:tcPr>
          <w:p w14:paraId="6FB9D301">
            <w:pPr>
              <w:rPr>
                <w:rFonts w:hint="eastAsia" w:ascii="宋体" w:hAnsi="宋体" w:eastAsia="宋体"/>
                <w:bCs/>
                <w:szCs w:val="21"/>
              </w:rPr>
            </w:pPr>
            <w:r>
              <w:rPr>
                <w:rFonts w:hint="eastAsia" w:ascii="宋体" w:hAnsi="宋体" w:eastAsia="宋体"/>
                <w:bCs/>
                <w:szCs w:val="21"/>
              </w:rPr>
              <w:t>支架底部未按规范要求设置底座、垫板，扣5-8分</w:t>
            </w:r>
          </w:p>
          <w:p w14:paraId="562CE542">
            <w:pPr>
              <w:rPr>
                <w:rFonts w:hint="eastAsia" w:ascii="宋体" w:hAnsi="宋体" w:eastAsia="宋体"/>
                <w:bCs/>
                <w:szCs w:val="21"/>
              </w:rPr>
            </w:pPr>
            <w:r>
              <w:rPr>
                <w:rFonts w:hint="eastAsia" w:ascii="宋体" w:hAnsi="宋体" w:eastAsia="宋体"/>
                <w:bCs/>
                <w:szCs w:val="21"/>
              </w:rPr>
              <w:t>基础未采取排水措施，排水不通畅，扣3-5分</w:t>
            </w:r>
          </w:p>
          <w:p w14:paraId="62F0062A">
            <w:pPr>
              <w:rPr>
                <w:rFonts w:hint="eastAsia" w:ascii="宋体" w:hAnsi="宋体" w:eastAsia="宋体"/>
                <w:bCs/>
                <w:szCs w:val="21"/>
              </w:rPr>
            </w:pPr>
            <w:r>
              <w:rPr>
                <w:rFonts w:hint="eastAsia" w:ascii="宋体" w:hAnsi="宋体" w:eastAsia="宋体"/>
                <w:bCs/>
                <w:szCs w:val="21"/>
              </w:rPr>
              <w:t>支架立杆间距、扫地杆、水平杆等的设置不符合设计和规范要求，扣10-</w:t>
            </w:r>
            <w:r>
              <w:rPr>
                <w:rFonts w:hint="eastAsia" w:ascii="宋体" w:hAnsi="宋体" w:eastAsia="宋体"/>
                <w:bCs/>
                <w:szCs w:val="21"/>
                <w:lang w:val="en-US" w:eastAsia="zh-CN"/>
              </w:rPr>
              <w:t>20</w:t>
            </w:r>
            <w:r>
              <w:rPr>
                <w:rFonts w:hint="eastAsia" w:ascii="宋体" w:hAnsi="宋体" w:eastAsia="宋体"/>
                <w:bCs/>
                <w:szCs w:val="21"/>
              </w:rPr>
              <w:t>分</w:t>
            </w:r>
          </w:p>
          <w:p w14:paraId="3D51E8D5">
            <w:pPr>
              <w:rPr>
                <w:rFonts w:hint="eastAsia" w:ascii="宋体" w:hAnsi="宋体" w:eastAsia="宋体"/>
                <w:bCs/>
                <w:szCs w:val="21"/>
                <w:lang w:eastAsia="zh-CN"/>
              </w:rPr>
            </w:pPr>
            <w:r>
              <w:rPr>
                <w:rFonts w:hint="eastAsia" w:ascii="宋体" w:hAnsi="宋体" w:eastAsia="宋体"/>
                <w:bCs/>
                <w:szCs w:val="21"/>
                <w:lang w:val="en-US" w:eastAsia="zh-CN"/>
              </w:rPr>
              <w:t>组合铝合金模板</w:t>
            </w:r>
            <w:r>
              <w:rPr>
                <w:rFonts w:hint="eastAsia" w:ascii="宋体" w:hAnsi="宋体" w:eastAsia="宋体"/>
                <w:bCs/>
                <w:szCs w:val="21"/>
                <w:lang w:eastAsia="zh-CN"/>
              </w:rPr>
              <w:t>及其支撑</w:t>
            </w:r>
            <w:r>
              <w:rPr>
                <w:rFonts w:hint="eastAsia" w:ascii="宋体" w:hAnsi="宋体" w:eastAsia="宋体"/>
                <w:bCs/>
                <w:szCs w:val="21"/>
                <w:lang w:val="en-US" w:eastAsia="zh-CN"/>
              </w:rPr>
              <w:t>未</w:t>
            </w:r>
            <w:r>
              <w:rPr>
                <w:rFonts w:hint="eastAsia" w:ascii="宋体" w:hAnsi="宋体" w:eastAsia="宋体"/>
                <w:bCs/>
                <w:szCs w:val="21"/>
                <w:lang w:eastAsia="zh-CN"/>
              </w:rPr>
              <w:t>按照配模设计的要求进行安装，配件安装</w:t>
            </w:r>
            <w:r>
              <w:rPr>
                <w:rFonts w:hint="eastAsia" w:ascii="宋体" w:hAnsi="宋体" w:eastAsia="宋体"/>
                <w:bCs/>
                <w:szCs w:val="21"/>
                <w:lang w:val="en-US" w:eastAsia="zh-CN"/>
              </w:rPr>
              <w:t>不</w:t>
            </w:r>
            <w:r>
              <w:rPr>
                <w:rFonts w:hint="eastAsia" w:ascii="宋体" w:hAnsi="宋体" w:eastAsia="宋体"/>
                <w:bCs/>
                <w:szCs w:val="21"/>
                <w:lang w:eastAsia="zh-CN"/>
              </w:rPr>
              <w:t>牢固，</w:t>
            </w:r>
            <w:r>
              <w:rPr>
                <w:rFonts w:hint="eastAsia" w:ascii="宋体" w:hAnsi="宋体" w:eastAsia="宋体"/>
                <w:bCs/>
                <w:szCs w:val="21"/>
                <w:lang w:val="en-US" w:eastAsia="zh-CN"/>
              </w:rPr>
              <w:t>扣10-15分</w:t>
            </w:r>
          </w:p>
          <w:p w14:paraId="2F70BE4F">
            <w:pPr>
              <w:rPr>
                <w:rFonts w:hint="eastAsia" w:ascii="宋体" w:hAnsi="宋体" w:eastAsia="宋体"/>
                <w:bCs/>
                <w:szCs w:val="21"/>
                <w:lang w:eastAsia="zh-CN"/>
              </w:rPr>
            </w:pPr>
            <w:r>
              <w:rPr>
                <w:rFonts w:hint="eastAsia" w:ascii="宋体" w:hAnsi="宋体" w:eastAsia="宋体"/>
                <w:bCs/>
                <w:szCs w:val="21"/>
                <w:lang w:val="en-US" w:eastAsia="zh-CN"/>
              </w:rPr>
              <w:t>组合铝合金模板</w:t>
            </w:r>
            <w:r>
              <w:rPr>
                <w:rFonts w:hint="eastAsia" w:ascii="宋体" w:hAnsi="宋体" w:eastAsia="宋体"/>
                <w:bCs/>
                <w:szCs w:val="21"/>
              </w:rPr>
              <w:t>墙、柱、梁构件两侧模板之间</w:t>
            </w:r>
            <w:r>
              <w:rPr>
                <w:rFonts w:hint="eastAsia" w:ascii="宋体" w:hAnsi="宋体" w:eastAsia="宋体"/>
                <w:bCs/>
                <w:szCs w:val="21"/>
                <w:lang w:val="en-US" w:eastAsia="zh-CN"/>
              </w:rPr>
              <w:t>未</w:t>
            </w:r>
            <w:r>
              <w:rPr>
                <w:rFonts w:hint="eastAsia" w:ascii="宋体" w:hAnsi="宋体" w:eastAsia="宋体"/>
                <w:bCs/>
                <w:szCs w:val="21"/>
              </w:rPr>
              <w:t>设置定位撑条，数量、布置及承载力</w:t>
            </w:r>
            <w:r>
              <w:rPr>
                <w:rFonts w:hint="eastAsia" w:ascii="宋体" w:hAnsi="宋体" w:eastAsia="宋体"/>
                <w:bCs/>
                <w:szCs w:val="21"/>
                <w:lang w:val="en-US" w:eastAsia="zh-CN"/>
              </w:rPr>
              <w:t>不</w:t>
            </w:r>
            <w:r>
              <w:rPr>
                <w:rFonts w:hint="eastAsia" w:ascii="宋体" w:hAnsi="宋体" w:eastAsia="宋体"/>
                <w:bCs/>
                <w:szCs w:val="21"/>
              </w:rPr>
              <w:t>满足对拉螺栓收紧和两侧模板之间传递风荷载的要求</w:t>
            </w:r>
            <w:r>
              <w:rPr>
                <w:rFonts w:hint="eastAsia" w:ascii="宋体" w:hAnsi="宋体" w:eastAsia="宋体"/>
                <w:bCs/>
                <w:szCs w:val="21"/>
                <w:lang w:eastAsia="zh-CN"/>
              </w:rPr>
              <w:t>，</w:t>
            </w:r>
            <w:r>
              <w:rPr>
                <w:rFonts w:hint="eastAsia" w:ascii="宋体" w:hAnsi="宋体" w:eastAsia="宋体"/>
                <w:bCs/>
                <w:szCs w:val="21"/>
                <w:lang w:val="en-US" w:eastAsia="zh-CN"/>
              </w:rPr>
              <w:t>扣10-15分</w:t>
            </w:r>
          </w:p>
          <w:p w14:paraId="475150AF">
            <w:pPr>
              <w:rPr>
                <w:rFonts w:hint="eastAsia" w:ascii="宋体" w:hAnsi="宋体" w:eastAsia="宋体"/>
                <w:bCs/>
                <w:szCs w:val="21"/>
                <w:lang w:val="en-US" w:eastAsia="zh-CN"/>
              </w:rPr>
            </w:pPr>
            <w:r>
              <w:rPr>
                <w:rFonts w:hint="eastAsia" w:ascii="宋体" w:hAnsi="宋体" w:eastAsia="宋体"/>
                <w:bCs/>
                <w:szCs w:val="21"/>
                <w:lang w:val="en-US" w:eastAsia="zh-CN"/>
              </w:rPr>
              <w:t>铝合金</w:t>
            </w:r>
            <w:r>
              <w:rPr>
                <w:rFonts w:hint="eastAsia" w:ascii="宋体" w:hAnsi="宋体" w:eastAsia="宋体"/>
                <w:bCs/>
                <w:szCs w:val="21"/>
                <w:lang w:eastAsia="zh-CN"/>
              </w:rPr>
              <w:t>模板销钉</w:t>
            </w:r>
            <w:r>
              <w:rPr>
                <w:rFonts w:hint="eastAsia" w:ascii="宋体" w:hAnsi="宋体" w:eastAsia="宋体"/>
                <w:bCs/>
                <w:szCs w:val="21"/>
                <w:lang w:val="en-US" w:eastAsia="zh-CN"/>
              </w:rPr>
              <w:t>未</w:t>
            </w:r>
            <w:r>
              <w:rPr>
                <w:rFonts w:hint="eastAsia" w:ascii="宋体" w:hAnsi="宋体" w:eastAsia="宋体"/>
                <w:bCs/>
                <w:szCs w:val="21"/>
                <w:lang w:eastAsia="zh-CN"/>
              </w:rPr>
              <w:t>锁紧，</w:t>
            </w:r>
            <w:r>
              <w:rPr>
                <w:rFonts w:hint="eastAsia" w:ascii="宋体" w:hAnsi="宋体" w:eastAsia="宋体"/>
                <w:bCs/>
                <w:szCs w:val="21"/>
                <w:lang w:val="en-US" w:eastAsia="zh-CN"/>
              </w:rPr>
              <w:t>孔间距超过规范和设计要求，扣5-10分</w:t>
            </w:r>
          </w:p>
          <w:p w14:paraId="603E1E18">
            <w:pPr>
              <w:rPr>
                <w:rFonts w:hint="default"/>
                <w:color w:val="000000" w:themeColor="text1"/>
                <w:highlight w:val="green"/>
                <w:lang w:val="en-US" w:eastAsia="zh-CN"/>
                <w14:textFill>
                  <w14:solidFill>
                    <w14:schemeClr w14:val="tx1"/>
                  </w14:solidFill>
                </w14:textFill>
              </w:rPr>
            </w:pPr>
            <w:r>
              <w:rPr>
                <w:rFonts w:hint="eastAsia" w:ascii="宋体" w:hAnsi="宋体" w:eastAsia="宋体"/>
                <w:bCs/>
                <w:szCs w:val="21"/>
                <w:lang w:val="en-US" w:eastAsia="zh-CN"/>
              </w:rPr>
              <w:t>当层高超过3.3m时，组合铝合金模板支撑系统的立杆应通过设计计算布设水平拉杆，水平拉杆的步距不符合方案设计要求，扣10-15分</w:t>
            </w:r>
          </w:p>
        </w:tc>
        <w:tc>
          <w:tcPr>
            <w:tcW w:w="877" w:type="dxa"/>
            <w:tcBorders>
              <w:top w:val="single" w:color="auto" w:sz="4" w:space="0"/>
              <w:left w:val="single" w:color="auto" w:sz="4" w:space="0"/>
              <w:bottom w:val="single" w:color="auto" w:sz="4" w:space="0"/>
              <w:right w:val="single" w:color="auto" w:sz="4" w:space="0"/>
            </w:tcBorders>
            <w:vAlign w:val="center"/>
          </w:tcPr>
          <w:p w14:paraId="400FA15E">
            <w:pPr>
              <w:rPr>
                <w:rFonts w:hint="eastAsia" w:ascii="宋体" w:hAnsi="宋体" w:eastAsia="宋体"/>
                <w:bCs/>
                <w:szCs w:val="21"/>
              </w:rPr>
            </w:pPr>
            <w:r>
              <w:rPr>
                <w:rFonts w:hint="eastAsia" w:ascii="宋体" w:hAnsi="宋体" w:eastAsia="宋体"/>
                <w:bCs/>
                <w:szCs w:val="21"/>
              </w:rPr>
              <w:t>20</w:t>
            </w:r>
          </w:p>
        </w:tc>
        <w:tc>
          <w:tcPr>
            <w:tcW w:w="850" w:type="dxa"/>
            <w:tcBorders>
              <w:top w:val="single" w:color="auto" w:sz="4" w:space="0"/>
              <w:left w:val="single" w:color="auto" w:sz="4" w:space="0"/>
              <w:bottom w:val="single" w:color="auto" w:sz="4" w:space="0"/>
              <w:right w:val="single" w:color="auto" w:sz="4" w:space="0"/>
            </w:tcBorders>
            <w:vAlign w:val="center"/>
          </w:tcPr>
          <w:p w14:paraId="3E24675A">
            <w:pPr>
              <w:rPr>
                <w:rFonts w:hint="eastAsia" w:ascii="宋体" w:hAnsi="宋体" w:eastAsia="宋体"/>
                <w:bCs/>
                <w:szCs w:val="21"/>
              </w:rPr>
            </w:pPr>
          </w:p>
        </w:tc>
      </w:tr>
      <w:tr w14:paraId="45B0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14:paraId="385E724A">
            <w:pPr>
              <w:rPr>
                <w:rFonts w:hint="eastAsia" w:ascii="宋体" w:hAnsi="宋体" w:eastAsia="宋体"/>
                <w:bCs/>
                <w:szCs w:val="21"/>
              </w:rPr>
            </w:pPr>
            <w:r>
              <w:rPr>
                <w:rFonts w:hint="eastAsia" w:ascii="宋体" w:hAnsi="宋体" w:eastAsia="宋体"/>
                <w:bCs/>
                <w:szCs w:val="21"/>
              </w:rPr>
              <w:t>3</w:t>
            </w:r>
          </w:p>
        </w:tc>
        <w:tc>
          <w:tcPr>
            <w:tcW w:w="1129" w:type="dxa"/>
            <w:tcBorders>
              <w:top w:val="single" w:color="auto" w:sz="4" w:space="0"/>
              <w:left w:val="single" w:color="auto" w:sz="4" w:space="0"/>
              <w:bottom w:val="single" w:color="auto" w:sz="4" w:space="0"/>
              <w:right w:val="single" w:color="auto" w:sz="4" w:space="0"/>
            </w:tcBorders>
            <w:vAlign w:val="center"/>
          </w:tcPr>
          <w:p w14:paraId="164AB8FE">
            <w:pPr>
              <w:rPr>
                <w:rFonts w:hint="eastAsia" w:ascii="宋体" w:hAnsi="宋体" w:eastAsia="宋体"/>
                <w:bCs/>
                <w:szCs w:val="21"/>
              </w:rPr>
            </w:pPr>
            <w:r>
              <w:rPr>
                <w:rFonts w:hint="eastAsia" w:ascii="宋体" w:hAnsi="宋体" w:eastAsia="宋体"/>
                <w:bCs/>
                <w:szCs w:val="21"/>
              </w:rPr>
              <w:t>稳定性</w:t>
            </w:r>
          </w:p>
        </w:tc>
        <w:tc>
          <w:tcPr>
            <w:tcW w:w="5360" w:type="dxa"/>
            <w:tcBorders>
              <w:top w:val="single" w:color="auto" w:sz="4" w:space="0"/>
              <w:left w:val="single" w:color="auto" w:sz="4" w:space="0"/>
              <w:bottom w:val="single" w:color="auto" w:sz="4" w:space="0"/>
              <w:right w:val="single" w:color="auto" w:sz="4" w:space="0"/>
            </w:tcBorders>
            <w:vAlign w:val="center"/>
          </w:tcPr>
          <w:p w14:paraId="2B7869CE">
            <w:pPr>
              <w:rPr>
                <w:rFonts w:hint="eastAsia" w:ascii="宋体" w:hAnsi="宋体" w:eastAsia="宋体"/>
                <w:bCs/>
                <w:szCs w:val="21"/>
              </w:rPr>
            </w:pPr>
            <w:r>
              <w:rPr>
                <w:rFonts w:hint="eastAsia" w:ascii="宋体" w:hAnsi="宋体" w:eastAsia="宋体"/>
                <w:bCs/>
                <w:szCs w:val="21"/>
              </w:rPr>
              <w:t>模板及其支架在安装过程中，未设置有效防倾覆的临时固定设施，扣5-10分</w:t>
            </w:r>
          </w:p>
          <w:p w14:paraId="371D5AEA">
            <w:pPr>
              <w:rPr>
                <w:rFonts w:hint="eastAsia" w:ascii="宋体" w:hAnsi="宋体" w:eastAsia="宋体"/>
                <w:bCs/>
                <w:szCs w:val="21"/>
              </w:rPr>
            </w:pPr>
            <w:r>
              <w:rPr>
                <w:rFonts w:hint="eastAsia" w:ascii="宋体" w:hAnsi="宋体" w:eastAsia="宋体"/>
                <w:bCs/>
                <w:szCs w:val="21"/>
              </w:rPr>
              <w:t>立杆伸出顶层水平杆中心线至支撑点的长度不符合规范要求，扣5-10分</w:t>
            </w:r>
          </w:p>
          <w:p w14:paraId="55675709">
            <w:pPr>
              <w:rPr>
                <w:rFonts w:hint="eastAsia" w:ascii="宋体" w:hAnsi="宋体" w:eastAsia="宋体"/>
                <w:bCs/>
                <w:szCs w:val="21"/>
              </w:rPr>
            </w:pPr>
            <w:r>
              <w:rPr>
                <w:rFonts w:hint="eastAsia" w:ascii="宋体" w:hAnsi="宋体" w:eastAsia="宋体"/>
                <w:bCs/>
                <w:szCs w:val="21"/>
              </w:rPr>
              <w:t>浇筑混凝土时未对架体基础沉降、架体变形进行监控，基础沉降、架体变形超过规定允许范围内，扣15-20分</w:t>
            </w:r>
          </w:p>
          <w:p w14:paraId="7D054E08">
            <w:pPr>
              <w:rPr>
                <w:rFonts w:hint="default"/>
                <w:color w:val="000000" w:themeColor="text1"/>
                <w:highlight w:val="green"/>
                <w:lang w:val="en-US" w:eastAsia="zh-CN"/>
                <w14:textFill>
                  <w14:solidFill>
                    <w14:schemeClr w14:val="tx1"/>
                  </w14:solidFill>
                </w14:textFill>
              </w:rPr>
            </w:pPr>
            <w:r>
              <w:rPr>
                <w:rFonts w:hint="eastAsia" w:ascii="宋体" w:hAnsi="宋体" w:eastAsia="宋体"/>
                <w:bCs/>
                <w:szCs w:val="21"/>
                <w:lang w:val="en-US" w:eastAsia="zh-CN"/>
              </w:rPr>
              <w:t>铝合金模板安装过程中未采取斜撑、拉索等临时措施保证其稳定性，扣10-15分</w:t>
            </w:r>
          </w:p>
        </w:tc>
        <w:tc>
          <w:tcPr>
            <w:tcW w:w="877" w:type="dxa"/>
            <w:tcBorders>
              <w:top w:val="single" w:color="auto" w:sz="4" w:space="0"/>
              <w:left w:val="single" w:color="auto" w:sz="4" w:space="0"/>
              <w:bottom w:val="single" w:color="auto" w:sz="4" w:space="0"/>
              <w:right w:val="single" w:color="auto" w:sz="4" w:space="0"/>
            </w:tcBorders>
            <w:vAlign w:val="center"/>
          </w:tcPr>
          <w:p w14:paraId="39E2A054">
            <w:pPr>
              <w:rPr>
                <w:rFonts w:hint="eastAsia" w:ascii="宋体" w:hAnsi="宋体" w:eastAsia="宋体"/>
                <w:bCs/>
                <w:szCs w:val="21"/>
              </w:rPr>
            </w:pPr>
            <w:r>
              <w:rPr>
                <w:rFonts w:hint="eastAsia" w:ascii="宋体" w:hAnsi="宋体" w:eastAsia="宋体"/>
                <w:bCs/>
                <w:szCs w:val="21"/>
              </w:rPr>
              <w:t>20</w:t>
            </w:r>
          </w:p>
        </w:tc>
        <w:tc>
          <w:tcPr>
            <w:tcW w:w="850" w:type="dxa"/>
            <w:tcBorders>
              <w:top w:val="single" w:color="auto" w:sz="4" w:space="0"/>
              <w:left w:val="single" w:color="auto" w:sz="4" w:space="0"/>
              <w:bottom w:val="single" w:color="auto" w:sz="4" w:space="0"/>
              <w:right w:val="single" w:color="auto" w:sz="4" w:space="0"/>
            </w:tcBorders>
            <w:vAlign w:val="center"/>
          </w:tcPr>
          <w:p w14:paraId="35DE443C">
            <w:pPr>
              <w:rPr>
                <w:rFonts w:hint="eastAsia" w:ascii="宋体" w:hAnsi="宋体" w:eastAsia="宋体"/>
                <w:bCs/>
                <w:szCs w:val="21"/>
              </w:rPr>
            </w:pPr>
          </w:p>
        </w:tc>
      </w:tr>
      <w:tr w14:paraId="1085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14:paraId="3EB365DE">
            <w:pPr>
              <w:rPr>
                <w:rFonts w:hint="eastAsia" w:ascii="宋体" w:hAnsi="宋体" w:eastAsia="宋体"/>
                <w:bCs/>
                <w:szCs w:val="21"/>
              </w:rPr>
            </w:pPr>
            <w:r>
              <w:rPr>
                <w:rFonts w:hint="eastAsia" w:ascii="宋体" w:hAnsi="宋体" w:eastAsia="宋体"/>
                <w:bCs/>
                <w:szCs w:val="21"/>
              </w:rPr>
              <w:t>4</w:t>
            </w:r>
          </w:p>
        </w:tc>
        <w:tc>
          <w:tcPr>
            <w:tcW w:w="1129" w:type="dxa"/>
            <w:tcBorders>
              <w:top w:val="single" w:color="auto" w:sz="4" w:space="0"/>
              <w:left w:val="single" w:color="auto" w:sz="4" w:space="0"/>
              <w:bottom w:val="single" w:color="auto" w:sz="4" w:space="0"/>
              <w:right w:val="single" w:color="auto" w:sz="4" w:space="0"/>
            </w:tcBorders>
            <w:vAlign w:val="center"/>
          </w:tcPr>
          <w:p w14:paraId="5015DF2C">
            <w:pPr>
              <w:rPr>
                <w:rFonts w:hint="eastAsia" w:ascii="宋体" w:hAnsi="宋体" w:eastAsia="宋体"/>
                <w:bCs/>
                <w:szCs w:val="21"/>
              </w:rPr>
            </w:pPr>
            <w:r>
              <w:rPr>
                <w:rFonts w:hint="eastAsia" w:ascii="宋体" w:hAnsi="宋体" w:eastAsia="宋体"/>
                <w:bCs/>
                <w:szCs w:val="21"/>
              </w:rPr>
              <w:t>施工荷载</w:t>
            </w:r>
          </w:p>
        </w:tc>
        <w:tc>
          <w:tcPr>
            <w:tcW w:w="5360" w:type="dxa"/>
            <w:tcBorders>
              <w:top w:val="single" w:color="auto" w:sz="4" w:space="0"/>
              <w:left w:val="single" w:color="auto" w:sz="4" w:space="0"/>
              <w:bottom w:val="single" w:color="auto" w:sz="4" w:space="0"/>
              <w:right w:val="single" w:color="auto" w:sz="4" w:space="0"/>
            </w:tcBorders>
            <w:vAlign w:val="center"/>
          </w:tcPr>
          <w:p w14:paraId="787ECD43">
            <w:pPr>
              <w:rPr>
                <w:rFonts w:hint="eastAsia" w:ascii="宋体" w:hAnsi="宋体" w:eastAsia="宋体"/>
                <w:bCs/>
                <w:szCs w:val="21"/>
              </w:rPr>
            </w:pPr>
            <w:r>
              <w:rPr>
                <w:rFonts w:hint="eastAsia" w:ascii="宋体" w:hAnsi="宋体" w:eastAsia="宋体"/>
                <w:bCs/>
                <w:szCs w:val="21"/>
              </w:rPr>
              <w:t>当浇筑混凝土时，混凝土堆积高度未进行控制，扣</w:t>
            </w:r>
            <w:r>
              <w:rPr>
                <w:rFonts w:hint="eastAsia" w:ascii="宋体" w:hAnsi="宋体" w:eastAsia="宋体"/>
                <w:bCs/>
                <w:szCs w:val="21"/>
                <w:lang w:val="en-US" w:eastAsia="zh-CN"/>
              </w:rPr>
              <w:t>5-10</w:t>
            </w:r>
            <w:r>
              <w:rPr>
                <w:rFonts w:hint="eastAsia" w:ascii="宋体" w:hAnsi="宋体" w:eastAsia="宋体"/>
                <w:bCs/>
                <w:szCs w:val="21"/>
              </w:rPr>
              <w:t>分</w:t>
            </w:r>
          </w:p>
          <w:p w14:paraId="7DE76E22">
            <w:pPr>
              <w:rPr>
                <w:rFonts w:hint="eastAsia" w:ascii="宋体" w:hAnsi="宋体" w:eastAsia="宋体"/>
                <w:bCs/>
                <w:szCs w:val="21"/>
              </w:rPr>
            </w:pPr>
            <w:r>
              <w:rPr>
                <w:rFonts w:hint="eastAsia" w:ascii="宋体" w:hAnsi="宋体" w:eastAsia="宋体"/>
                <w:bCs/>
                <w:szCs w:val="21"/>
                <w:highlight w:val="none"/>
              </w:rPr>
              <w:t>已承受荷载的支架及附件随意拆除或移动，扣8-1</w:t>
            </w:r>
            <w:r>
              <w:rPr>
                <w:rFonts w:hint="eastAsia" w:ascii="宋体" w:hAnsi="宋体" w:eastAsia="宋体"/>
                <w:bCs/>
                <w:szCs w:val="21"/>
                <w:highlight w:val="none"/>
                <w:lang w:val="en-US" w:eastAsia="zh-CN"/>
              </w:rPr>
              <w:t>5</w:t>
            </w:r>
            <w:r>
              <w:rPr>
                <w:rFonts w:hint="eastAsia" w:ascii="宋体" w:hAnsi="宋体" w:eastAsia="宋体"/>
                <w:bCs/>
                <w:szCs w:val="21"/>
                <w:highlight w:val="none"/>
              </w:rPr>
              <w:t>分</w:t>
            </w:r>
          </w:p>
        </w:tc>
        <w:tc>
          <w:tcPr>
            <w:tcW w:w="877" w:type="dxa"/>
            <w:tcBorders>
              <w:top w:val="single" w:color="auto" w:sz="4" w:space="0"/>
              <w:left w:val="single" w:color="auto" w:sz="4" w:space="0"/>
              <w:bottom w:val="single" w:color="auto" w:sz="4" w:space="0"/>
              <w:right w:val="single" w:color="auto" w:sz="4" w:space="0"/>
            </w:tcBorders>
            <w:vAlign w:val="center"/>
          </w:tcPr>
          <w:p w14:paraId="37D7C914">
            <w:pPr>
              <w:rPr>
                <w:rFonts w:hint="eastAsia" w:ascii="宋体" w:hAnsi="宋体" w:eastAsia="宋体"/>
                <w:bCs/>
                <w:szCs w:val="21"/>
              </w:rPr>
            </w:pPr>
            <w:r>
              <w:rPr>
                <w:rFonts w:hint="eastAsia" w:ascii="宋体" w:hAnsi="宋体" w:eastAsia="宋体"/>
                <w:bCs/>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14:paraId="0A04B69E">
            <w:pPr>
              <w:rPr>
                <w:rFonts w:hint="eastAsia" w:ascii="宋体" w:hAnsi="宋体" w:eastAsia="宋体"/>
                <w:bCs/>
                <w:szCs w:val="21"/>
              </w:rPr>
            </w:pPr>
          </w:p>
        </w:tc>
      </w:tr>
      <w:tr w14:paraId="62DEB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14:paraId="2C7B31B3">
            <w:pPr>
              <w:rPr>
                <w:rFonts w:hint="eastAsia" w:ascii="宋体" w:hAnsi="宋体" w:eastAsia="宋体"/>
                <w:bCs/>
                <w:szCs w:val="21"/>
              </w:rPr>
            </w:pPr>
            <w:r>
              <w:rPr>
                <w:rFonts w:hint="eastAsia" w:ascii="宋体" w:hAnsi="宋体" w:eastAsia="宋体"/>
                <w:bCs/>
                <w:szCs w:val="21"/>
              </w:rPr>
              <w:t>5</w:t>
            </w:r>
          </w:p>
        </w:tc>
        <w:tc>
          <w:tcPr>
            <w:tcW w:w="1129" w:type="dxa"/>
            <w:tcBorders>
              <w:top w:val="single" w:color="auto" w:sz="4" w:space="0"/>
              <w:left w:val="single" w:color="auto" w:sz="4" w:space="0"/>
              <w:bottom w:val="single" w:color="auto" w:sz="4" w:space="0"/>
              <w:right w:val="single" w:color="auto" w:sz="4" w:space="0"/>
            </w:tcBorders>
            <w:vAlign w:val="center"/>
          </w:tcPr>
          <w:p w14:paraId="34D207FB">
            <w:pPr>
              <w:rPr>
                <w:rFonts w:hint="eastAsia" w:ascii="宋体" w:hAnsi="宋体" w:eastAsia="宋体"/>
                <w:bCs/>
                <w:szCs w:val="21"/>
              </w:rPr>
            </w:pPr>
            <w:r>
              <w:rPr>
                <w:rFonts w:hint="eastAsia" w:ascii="宋体" w:hAnsi="宋体" w:eastAsia="宋体"/>
                <w:bCs/>
                <w:szCs w:val="21"/>
              </w:rPr>
              <w:t>交底与检查验收</w:t>
            </w:r>
          </w:p>
        </w:tc>
        <w:tc>
          <w:tcPr>
            <w:tcW w:w="5360" w:type="dxa"/>
            <w:tcBorders>
              <w:top w:val="single" w:color="auto" w:sz="4" w:space="0"/>
              <w:left w:val="single" w:color="auto" w:sz="4" w:space="0"/>
              <w:bottom w:val="single" w:color="auto" w:sz="4" w:space="0"/>
              <w:right w:val="single" w:color="auto" w:sz="4" w:space="0"/>
            </w:tcBorders>
            <w:vAlign w:val="center"/>
          </w:tcPr>
          <w:p w14:paraId="28DC92B0">
            <w:pPr>
              <w:rPr>
                <w:rFonts w:hint="eastAsia" w:ascii="宋体" w:hAnsi="宋体" w:eastAsia="宋体"/>
                <w:bCs/>
                <w:szCs w:val="21"/>
              </w:rPr>
            </w:pPr>
            <w:r>
              <w:rPr>
                <w:rFonts w:hint="eastAsia" w:ascii="宋体" w:hAnsi="宋体" w:eastAsia="宋体"/>
                <w:bCs/>
                <w:szCs w:val="21"/>
              </w:rPr>
              <w:t>支架搭设、拆除前未进行交底，无交底记录，扣5分</w:t>
            </w:r>
          </w:p>
          <w:p w14:paraId="7C2A797A">
            <w:pPr>
              <w:rPr>
                <w:rFonts w:hint="eastAsia" w:ascii="宋体" w:hAnsi="宋体" w:eastAsia="宋体"/>
                <w:bCs/>
                <w:szCs w:val="21"/>
              </w:rPr>
            </w:pPr>
            <w:r>
              <w:rPr>
                <w:rFonts w:hint="eastAsia" w:ascii="宋体" w:hAnsi="宋体" w:eastAsia="宋体"/>
                <w:bCs/>
                <w:szCs w:val="21"/>
              </w:rPr>
              <w:t>验收无量化内容或未经责任人签字确认，扣10-15分</w:t>
            </w:r>
          </w:p>
          <w:p w14:paraId="0832FA85">
            <w:pPr>
              <w:rPr>
                <w:rFonts w:hint="eastAsia" w:ascii="宋体" w:hAnsi="宋体" w:eastAsia="宋体"/>
                <w:bCs/>
                <w:szCs w:val="21"/>
              </w:rPr>
            </w:pPr>
            <w:r>
              <w:rPr>
                <w:rFonts w:hint="eastAsia" w:ascii="宋体" w:hAnsi="宋体" w:eastAsia="宋体"/>
                <w:bCs/>
                <w:szCs w:val="21"/>
              </w:rPr>
              <w:t>交底未覆盖技术、安全、操作全维度，验收未贯穿全周期，结构稳定性、同步控制、环境适应性等不满足专项方案及规范要求，扣5-8分</w:t>
            </w:r>
          </w:p>
        </w:tc>
        <w:tc>
          <w:tcPr>
            <w:tcW w:w="877" w:type="dxa"/>
            <w:tcBorders>
              <w:top w:val="single" w:color="auto" w:sz="4" w:space="0"/>
              <w:left w:val="single" w:color="auto" w:sz="4" w:space="0"/>
              <w:bottom w:val="single" w:color="auto" w:sz="4" w:space="0"/>
              <w:right w:val="single" w:color="auto" w:sz="4" w:space="0"/>
            </w:tcBorders>
            <w:vAlign w:val="center"/>
          </w:tcPr>
          <w:p w14:paraId="59E5E984">
            <w:pPr>
              <w:rPr>
                <w:rFonts w:hint="eastAsia" w:ascii="宋体" w:hAnsi="宋体" w:eastAsia="宋体"/>
                <w:bCs/>
                <w:szCs w:val="21"/>
              </w:rPr>
            </w:pPr>
            <w:r>
              <w:rPr>
                <w:rFonts w:hint="eastAsia" w:ascii="宋体" w:hAnsi="宋体" w:eastAsia="宋体"/>
                <w:bCs/>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14:paraId="007AC145">
            <w:pPr>
              <w:rPr>
                <w:rFonts w:hint="eastAsia" w:ascii="宋体" w:hAnsi="宋体" w:eastAsia="宋体"/>
                <w:bCs/>
                <w:szCs w:val="21"/>
              </w:rPr>
            </w:pPr>
          </w:p>
        </w:tc>
      </w:tr>
      <w:tr w14:paraId="30C1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14:paraId="2212DFF2">
            <w:pPr>
              <w:rPr>
                <w:rFonts w:hint="eastAsia" w:ascii="宋体" w:hAnsi="宋体" w:eastAsia="宋体"/>
                <w:bCs/>
                <w:szCs w:val="21"/>
              </w:rPr>
            </w:pPr>
            <w:r>
              <w:rPr>
                <w:rFonts w:hint="eastAsia" w:ascii="宋体" w:hAnsi="宋体" w:eastAsia="宋体"/>
                <w:bCs/>
                <w:szCs w:val="21"/>
              </w:rPr>
              <w:t>6</w:t>
            </w:r>
          </w:p>
        </w:tc>
        <w:tc>
          <w:tcPr>
            <w:tcW w:w="1129" w:type="dxa"/>
            <w:tcBorders>
              <w:top w:val="single" w:color="auto" w:sz="4" w:space="0"/>
              <w:left w:val="single" w:color="auto" w:sz="4" w:space="0"/>
              <w:bottom w:val="single" w:color="auto" w:sz="4" w:space="0"/>
              <w:right w:val="single" w:color="auto" w:sz="4" w:space="0"/>
            </w:tcBorders>
            <w:vAlign w:val="center"/>
          </w:tcPr>
          <w:p w14:paraId="1B46A51C">
            <w:pPr>
              <w:rPr>
                <w:rFonts w:hint="eastAsia" w:ascii="宋体" w:hAnsi="宋体" w:eastAsia="宋体"/>
                <w:bCs/>
                <w:szCs w:val="21"/>
              </w:rPr>
            </w:pPr>
            <w:r>
              <w:rPr>
                <w:rFonts w:hint="eastAsia" w:ascii="宋体" w:hAnsi="宋体" w:eastAsia="宋体"/>
                <w:bCs/>
                <w:szCs w:val="21"/>
              </w:rPr>
              <w:t>模板拆除</w:t>
            </w:r>
          </w:p>
        </w:tc>
        <w:tc>
          <w:tcPr>
            <w:tcW w:w="5360" w:type="dxa"/>
            <w:tcBorders>
              <w:top w:val="single" w:color="auto" w:sz="4" w:space="0"/>
              <w:left w:val="single" w:color="auto" w:sz="4" w:space="0"/>
              <w:bottom w:val="single" w:color="auto" w:sz="4" w:space="0"/>
              <w:right w:val="single" w:color="auto" w:sz="4" w:space="0"/>
            </w:tcBorders>
            <w:vAlign w:val="center"/>
          </w:tcPr>
          <w:p w14:paraId="0C818C24">
            <w:pPr>
              <w:rPr>
                <w:rFonts w:hint="eastAsia" w:ascii="宋体" w:hAnsi="宋体" w:eastAsia="宋体"/>
                <w:bCs/>
                <w:szCs w:val="21"/>
              </w:rPr>
            </w:pPr>
            <w:r>
              <w:rPr>
                <w:rFonts w:hint="eastAsia" w:ascii="宋体" w:hAnsi="宋体" w:eastAsia="宋体"/>
                <w:bCs/>
                <w:szCs w:val="21"/>
              </w:rPr>
              <w:t>模板支撑体系的拆除未符合规范及专项施工方案要求，扣</w:t>
            </w:r>
            <w:r>
              <w:rPr>
                <w:rFonts w:hint="eastAsia" w:ascii="宋体" w:hAnsi="宋体" w:eastAsia="宋体"/>
                <w:bCs/>
                <w:szCs w:val="21"/>
                <w:lang w:val="en-US" w:eastAsia="zh-CN"/>
              </w:rPr>
              <w:t>10</w:t>
            </w:r>
            <w:r>
              <w:rPr>
                <w:rFonts w:hint="eastAsia" w:ascii="宋体" w:hAnsi="宋体" w:eastAsia="宋体"/>
                <w:bCs/>
                <w:szCs w:val="21"/>
              </w:rPr>
              <w:t>-1</w:t>
            </w:r>
            <w:r>
              <w:rPr>
                <w:rFonts w:hint="eastAsia" w:ascii="宋体" w:hAnsi="宋体" w:eastAsia="宋体"/>
                <w:bCs/>
                <w:szCs w:val="21"/>
                <w:lang w:val="en-US" w:eastAsia="zh-CN"/>
              </w:rPr>
              <w:t>5</w:t>
            </w:r>
            <w:r>
              <w:rPr>
                <w:rFonts w:hint="eastAsia" w:ascii="宋体" w:hAnsi="宋体" w:eastAsia="宋体"/>
                <w:bCs/>
                <w:szCs w:val="21"/>
              </w:rPr>
              <w:t>分</w:t>
            </w:r>
          </w:p>
          <w:p w14:paraId="703F5ABD">
            <w:pPr>
              <w:rPr>
                <w:rFonts w:hint="eastAsia" w:ascii="宋体" w:hAnsi="宋体" w:eastAsia="宋体"/>
                <w:bCs/>
                <w:szCs w:val="21"/>
              </w:rPr>
            </w:pPr>
            <w:r>
              <w:rPr>
                <w:rFonts w:hint="eastAsia" w:ascii="宋体" w:hAnsi="宋体" w:eastAsia="宋体"/>
                <w:bCs/>
                <w:szCs w:val="21"/>
              </w:rPr>
              <w:t>支架拆除前未设置警戒区，或未设专人监护，扣</w:t>
            </w:r>
            <w:r>
              <w:rPr>
                <w:rFonts w:hint="eastAsia" w:ascii="宋体" w:hAnsi="宋体" w:eastAsia="宋体"/>
                <w:bCs/>
                <w:szCs w:val="21"/>
                <w:lang w:val="en-US" w:eastAsia="zh-CN"/>
              </w:rPr>
              <w:t>5</w:t>
            </w:r>
            <w:r>
              <w:rPr>
                <w:rFonts w:hint="eastAsia" w:ascii="宋体" w:hAnsi="宋体" w:eastAsia="宋体"/>
                <w:bCs/>
                <w:szCs w:val="21"/>
              </w:rPr>
              <w:t>-10分</w:t>
            </w:r>
          </w:p>
          <w:p w14:paraId="5D644A1F">
            <w:pPr>
              <w:rPr>
                <w:rFonts w:hint="eastAsia" w:ascii="宋体" w:hAnsi="宋体" w:eastAsia="宋体"/>
                <w:bCs/>
                <w:szCs w:val="21"/>
              </w:rPr>
            </w:pPr>
            <w:r>
              <w:rPr>
                <w:rFonts w:hint="eastAsia" w:ascii="宋体" w:hAnsi="宋体" w:eastAsia="宋体"/>
                <w:bCs/>
                <w:szCs w:val="21"/>
              </w:rPr>
              <w:t>拆模的顺序和方法未满足模板的设计规定，扣</w:t>
            </w:r>
            <w:r>
              <w:rPr>
                <w:rFonts w:hint="eastAsia" w:ascii="宋体" w:hAnsi="宋体" w:eastAsia="宋体"/>
                <w:bCs/>
                <w:szCs w:val="21"/>
                <w:lang w:val="en-US" w:eastAsia="zh-CN"/>
              </w:rPr>
              <w:t>5</w:t>
            </w:r>
            <w:r>
              <w:rPr>
                <w:rFonts w:hint="eastAsia" w:ascii="宋体" w:hAnsi="宋体" w:eastAsia="宋体"/>
                <w:bCs/>
                <w:szCs w:val="21"/>
              </w:rPr>
              <w:t>-10分</w:t>
            </w:r>
          </w:p>
        </w:tc>
        <w:tc>
          <w:tcPr>
            <w:tcW w:w="877" w:type="dxa"/>
            <w:tcBorders>
              <w:top w:val="single" w:color="auto" w:sz="4" w:space="0"/>
              <w:left w:val="single" w:color="auto" w:sz="4" w:space="0"/>
              <w:bottom w:val="single" w:color="auto" w:sz="4" w:space="0"/>
              <w:right w:val="single" w:color="auto" w:sz="4" w:space="0"/>
            </w:tcBorders>
            <w:vAlign w:val="center"/>
          </w:tcPr>
          <w:p w14:paraId="6680040E">
            <w:pPr>
              <w:rPr>
                <w:rFonts w:hint="eastAsia" w:ascii="宋体" w:hAnsi="宋体" w:eastAsia="宋体"/>
                <w:bCs/>
                <w:szCs w:val="21"/>
              </w:rPr>
            </w:pPr>
            <w:r>
              <w:rPr>
                <w:rFonts w:hint="eastAsia" w:ascii="宋体" w:hAnsi="宋体" w:eastAsia="宋体"/>
                <w:bCs/>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14:paraId="6576F0A4">
            <w:pPr>
              <w:rPr>
                <w:rFonts w:hint="eastAsia" w:ascii="宋体" w:hAnsi="宋体" w:eastAsia="宋体"/>
                <w:bCs/>
                <w:szCs w:val="21"/>
              </w:rPr>
            </w:pPr>
          </w:p>
        </w:tc>
      </w:tr>
      <w:tr w14:paraId="61BD1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gridSpan w:val="2"/>
            <w:tcBorders>
              <w:top w:val="single" w:color="auto" w:sz="4" w:space="0"/>
              <w:left w:val="single" w:color="auto" w:sz="4" w:space="0"/>
              <w:bottom w:val="single" w:color="auto" w:sz="4" w:space="0"/>
              <w:right w:val="single" w:color="auto" w:sz="4" w:space="0"/>
            </w:tcBorders>
            <w:vAlign w:val="center"/>
          </w:tcPr>
          <w:p w14:paraId="26AD64BE">
            <w:pPr>
              <w:rPr>
                <w:rFonts w:hint="eastAsia" w:ascii="宋体" w:hAnsi="宋体" w:eastAsia="宋体"/>
                <w:bCs/>
                <w:szCs w:val="21"/>
              </w:rPr>
            </w:pPr>
            <w:r>
              <w:rPr>
                <w:rFonts w:hint="eastAsia" w:ascii="宋体" w:hAnsi="宋体" w:eastAsia="宋体"/>
                <w:bCs/>
                <w:szCs w:val="21"/>
              </w:rPr>
              <w:t>评价项目合计</w:t>
            </w:r>
          </w:p>
        </w:tc>
        <w:tc>
          <w:tcPr>
            <w:tcW w:w="5360" w:type="dxa"/>
            <w:tcBorders>
              <w:top w:val="single" w:color="auto" w:sz="4" w:space="0"/>
              <w:left w:val="single" w:color="auto" w:sz="4" w:space="0"/>
              <w:bottom w:val="single" w:color="auto" w:sz="4" w:space="0"/>
              <w:right w:val="single" w:color="auto" w:sz="4" w:space="0"/>
            </w:tcBorders>
            <w:vAlign w:val="center"/>
          </w:tcPr>
          <w:p w14:paraId="02FCFC81">
            <w:pPr>
              <w:rPr>
                <w:rFonts w:hint="eastAsia" w:ascii="宋体" w:hAnsi="宋体" w:eastAsia="宋体"/>
                <w:bCs/>
                <w:szCs w:val="21"/>
              </w:rPr>
            </w:pPr>
          </w:p>
        </w:tc>
        <w:tc>
          <w:tcPr>
            <w:tcW w:w="877" w:type="dxa"/>
            <w:tcBorders>
              <w:top w:val="single" w:color="auto" w:sz="4" w:space="0"/>
              <w:left w:val="single" w:color="auto" w:sz="4" w:space="0"/>
              <w:bottom w:val="single" w:color="auto" w:sz="4" w:space="0"/>
              <w:right w:val="single" w:color="auto" w:sz="4" w:space="0"/>
            </w:tcBorders>
            <w:vAlign w:val="center"/>
          </w:tcPr>
          <w:p w14:paraId="6B0421AF">
            <w:pPr>
              <w:rPr>
                <w:rFonts w:hint="eastAsia" w:ascii="宋体" w:hAnsi="宋体" w:eastAsia="宋体"/>
                <w:bCs/>
                <w:szCs w:val="21"/>
              </w:rPr>
            </w:pPr>
            <w:r>
              <w:rPr>
                <w:rFonts w:hint="eastAsia" w:ascii="宋体" w:hAnsi="宋体" w:eastAsia="宋体"/>
                <w:bCs/>
                <w:szCs w:val="21"/>
              </w:rPr>
              <w:t>100</w:t>
            </w:r>
          </w:p>
        </w:tc>
        <w:tc>
          <w:tcPr>
            <w:tcW w:w="850" w:type="dxa"/>
            <w:tcBorders>
              <w:top w:val="single" w:color="auto" w:sz="4" w:space="0"/>
              <w:left w:val="single" w:color="auto" w:sz="4" w:space="0"/>
              <w:bottom w:val="single" w:color="auto" w:sz="4" w:space="0"/>
              <w:right w:val="single" w:color="auto" w:sz="4" w:space="0"/>
            </w:tcBorders>
            <w:vAlign w:val="center"/>
          </w:tcPr>
          <w:p w14:paraId="29FA0F53">
            <w:pPr>
              <w:rPr>
                <w:rFonts w:hint="eastAsia" w:ascii="宋体" w:hAnsi="宋体" w:eastAsia="宋体"/>
                <w:bCs/>
                <w:szCs w:val="21"/>
              </w:rPr>
            </w:pPr>
          </w:p>
        </w:tc>
      </w:tr>
    </w:tbl>
    <w:p w14:paraId="04CC36C5">
      <w:pPr>
        <w:rPr>
          <w:rFonts w:hint="eastAsia"/>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0410EB"/>
    <w:rsid w:val="000619FE"/>
    <w:rsid w:val="002B3986"/>
    <w:rsid w:val="003340A5"/>
    <w:rsid w:val="00407F9E"/>
    <w:rsid w:val="00572BDE"/>
    <w:rsid w:val="00664863"/>
    <w:rsid w:val="00733CAA"/>
    <w:rsid w:val="00790020"/>
    <w:rsid w:val="007A1638"/>
    <w:rsid w:val="00A346C2"/>
    <w:rsid w:val="00AC7E4B"/>
    <w:rsid w:val="00B37160"/>
    <w:rsid w:val="00C04055"/>
    <w:rsid w:val="00C81323"/>
    <w:rsid w:val="00F8237C"/>
    <w:rsid w:val="015C7A00"/>
    <w:rsid w:val="044B3DB8"/>
    <w:rsid w:val="09374F35"/>
    <w:rsid w:val="09B654F9"/>
    <w:rsid w:val="0C4A6FC7"/>
    <w:rsid w:val="13B60687"/>
    <w:rsid w:val="14040BA5"/>
    <w:rsid w:val="15EC1C29"/>
    <w:rsid w:val="173D3594"/>
    <w:rsid w:val="1BCC1D90"/>
    <w:rsid w:val="1E8A3172"/>
    <w:rsid w:val="23A14638"/>
    <w:rsid w:val="243546EB"/>
    <w:rsid w:val="25225D91"/>
    <w:rsid w:val="3874602A"/>
    <w:rsid w:val="3F3B19D7"/>
    <w:rsid w:val="3F401148"/>
    <w:rsid w:val="3FBC2ABE"/>
    <w:rsid w:val="492448CF"/>
    <w:rsid w:val="4C431F90"/>
    <w:rsid w:val="5D785F3F"/>
    <w:rsid w:val="64BB4CC2"/>
    <w:rsid w:val="6CBC3447"/>
    <w:rsid w:val="7726376B"/>
    <w:rsid w:val="7C2A7315"/>
    <w:rsid w:val="7E105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1267</Words>
  <Characters>1338</Characters>
  <Lines>91</Lines>
  <Paragraphs>89</Paragraphs>
  <TotalTime>3</TotalTime>
  <ScaleCrop>false</ScaleCrop>
  <LinksUpToDate>false</LinksUpToDate>
  <CharactersWithSpaces>1340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2025-05-02T04:46:00Z</dcterms:created>
  <dc:creator>航 吴</dc:creator>
  <cp:lastModifiedBy>吴航</cp:lastModifiedBy>
  <dcterms:modified xsi:type="dcterms:W3CDTF">2025-06-03T01:21:15Z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eyJoZGlkIjoiMWQ3OTk5ODcyNTVmNmM0NTdmMWJlNzA5Y2U0ZmJlYWIiLCJ1c2VySWQiOiI1Njc5NDE1ODIifQ==</vt:lpwstr>
  </property>
  <property fmtid="{D5CDD505-2E9C-101B-9397-08002B2CF9AE}" pid="3" name="KSOProductBuildVer">
    <vt:lpwstr>2052-12.1.0.20784</vt:lpwstr>
  </property>
  <property fmtid="{D5CDD505-2E9C-101B-9397-08002B2CF9AE}" pid="4" name="ICV">
    <vt:lpwstr>6051A2F398DA497EAEC20F908740926E_12</vt:lpwstr>
  </property>
</Properties>
</file>